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9C2F" w14:textId="77777777" w:rsidR="00C03BCA" w:rsidRDefault="00C03BCA" w:rsidP="001A16D5">
      <w:pPr>
        <w:jc w:val="center"/>
        <w:rPr>
          <w:b/>
          <w:u w:val="single"/>
          <w:lang w:val="en-GB"/>
        </w:rPr>
      </w:pPr>
    </w:p>
    <w:p w14:paraId="53FC078F" w14:textId="77777777" w:rsidR="001A16D5" w:rsidRDefault="001A16D5" w:rsidP="001A16D5">
      <w:pPr>
        <w:jc w:val="center"/>
        <w:rPr>
          <w:b/>
          <w:u w:val="single"/>
          <w:lang w:val="en-GB"/>
        </w:rPr>
      </w:pPr>
      <w:r w:rsidRPr="00F206D5">
        <w:rPr>
          <w:b/>
          <w:u w:val="single"/>
          <w:lang w:val="en-GB"/>
        </w:rPr>
        <w:t>STOURPORT-ON-SEVERN TOWN COUNCIL</w:t>
      </w:r>
    </w:p>
    <w:p w14:paraId="4BD5D748" w14:textId="77777777" w:rsidR="00B532C3" w:rsidRDefault="00B532C3" w:rsidP="00746E36">
      <w:pPr>
        <w:jc w:val="center"/>
        <w:rPr>
          <w:b/>
          <w:u w:val="single"/>
          <w:lang w:val="en-GB"/>
        </w:rPr>
      </w:pPr>
    </w:p>
    <w:p w14:paraId="65B0CA28" w14:textId="1C8CE0DD" w:rsidR="001A16D5" w:rsidRDefault="00A948E0" w:rsidP="00B532C3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2</w:t>
      </w:r>
      <w:r w:rsidRPr="00A948E0">
        <w:rPr>
          <w:b/>
          <w:u w:val="single"/>
          <w:vertAlign w:val="superscript"/>
          <w:lang w:val="en-GB"/>
        </w:rPr>
        <w:t>ND</w:t>
      </w:r>
      <w:r>
        <w:rPr>
          <w:b/>
          <w:u w:val="single"/>
          <w:lang w:val="en-GB"/>
        </w:rPr>
        <w:t xml:space="preserve"> </w:t>
      </w:r>
      <w:r w:rsidR="00DC4B66">
        <w:rPr>
          <w:b/>
          <w:u w:val="single"/>
          <w:lang w:val="en-GB"/>
        </w:rPr>
        <w:t>JUNE</w:t>
      </w:r>
      <w:r w:rsidR="005D6EC5">
        <w:rPr>
          <w:b/>
          <w:u w:val="single"/>
          <w:lang w:val="en-GB"/>
        </w:rPr>
        <w:t xml:space="preserve"> </w:t>
      </w:r>
      <w:r w:rsidR="001C14BA">
        <w:rPr>
          <w:b/>
          <w:u w:val="single"/>
          <w:lang w:val="en-GB"/>
        </w:rPr>
        <w:t>20</w:t>
      </w:r>
      <w:r w:rsidR="00D16B22">
        <w:rPr>
          <w:b/>
          <w:u w:val="single"/>
          <w:lang w:val="en-GB"/>
        </w:rPr>
        <w:t>2</w:t>
      </w:r>
      <w:r w:rsidR="00526FD7">
        <w:rPr>
          <w:b/>
          <w:u w:val="single"/>
          <w:lang w:val="en-GB"/>
        </w:rPr>
        <w:t>6</w:t>
      </w:r>
    </w:p>
    <w:p w14:paraId="4A485B0A" w14:textId="77777777" w:rsidR="00B532C3" w:rsidRDefault="00B532C3" w:rsidP="001A16D5">
      <w:pPr>
        <w:jc w:val="center"/>
        <w:rPr>
          <w:b/>
          <w:u w:val="single"/>
          <w:lang w:val="en-GB"/>
        </w:rPr>
      </w:pPr>
    </w:p>
    <w:p w14:paraId="54D967CC" w14:textId="45773D98" w:rsidR="001A16D5" w:rsidRDefault="00CA1EAF" w:rsidP="001A16D5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FINAL ACCOUNTS</w:t>
      </w:r>
      <w:r w:rsidR="00B532C3">
        <w:rPr>
          <w:b/>
          <w:u w:val="single"/>
          <w:lang w:val="en-GB"/>
        </w:rPr>
        <w:t xml:space="preserve"> 202</w:t>
      </w:r>
      <w:r w:rsidR="00526FD7">
        <w:rPr>
          <w:b/>
          <w:u w:val="single"/>
          <w:lang w:val="en-GB"/>
        </w:rPr>
        <w:t>5</w:t>
      </w:r>
      <w:r w:rsidR="00B532C3">
        <w:rPr>
          <w:b/>
          <w:u w:val="single"/>
          <w:lang w:val="en-GB"/>
        </w:rPr>
        <w:t>/2</w:t>
      </w:r>
      <w:r w:rsidR="00526FD7">
        <w:rPr>
          <w:b/>
          <w:u w:val="single"/>
          <w:lang w:val="en-GB"/>
        </w:rPr>
        <w:t>6</w:t>
      </w:r>
    </w:p>
    <w:p w14:paraId="65762FDC" w14:textId="44A077F9" w:rsidR="00411608" w:rsidRDefault="00B532C3" w:rsidP="001A16D5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Report by the </w:t>
      </w:r>
      <w:r w:rsidR="00526FD7">
        <w:rPr>
          <w:b/>
          <w:u w:val="single"/>
          <w:lang w:val="en-GB"/>
        </w:rPr>
        <w:t>Responsible Financial Officer</w:t>
      </w:r>
    </w:p>
    <w:p w14:paraId="0EF3427A" w14:textId="77777777" w:rsidR="00526FD7" w:rsidRDefault="00526FD7" w:rsidP="001A16D5">
      <w:pPr>
        <w:jc w:val="center"/>
        <w:rPr>
          <w:b/>
          <w:u w:val="single"/>
          <w:lang w:val="en-GB"/>
        </w:rPr>
      </w:pPr>
    </w:p>
    <w:p w14:paraId="0216FC25" w14:textId="77777777" w:rsidR="00670B96" w:rsidRDefault="001A16D5" w:rsidP="00C52FCF">
      <w:pPr>
        <w:numPr>
          <w:ilvl w:val="0"/>
          <w:numId w:val="20"/>
        </w:numPr>
        <w:jc w:val="both"/>
        <w:rPr>
          <w:b/>
          <w:u w:val="single"/>
          <w:lang w:val="en-GB"/>
        </w:rPr>
      </w:pPr>
      <w:r w:rsidRPr="00746E36">
        <w:rPr>
          <w:b/>
          <w:u w:val="single"/>
          <w:lang w:val="en-GB"/>
        </w:rPr>
        <w:t>PURPOSE OF REPORT</w:t>
      </w:r>
    </w:p>
    <w:p w14:paraId="30000379" w14:textId="77777777" w:rsidR="00A948E0" w:rsidRPr="00746E36" w:rsidRDefault="00A948E0" w:rsidP="00A948E0">
      <w:pPr>
        <w:ind w:left="786"/>
        <w:jc w:val="both"/>
        <w:rPr>
          <w:b/>
          <w:u w:val="single"/>
          <w:lang w:val="en-GB"/>
        </w:rPr>
      </w:pPr>
    </w:p>
    <w:p w14:paraId="46D3B629" w14:textId="3BC9D4FA" w:rsidR="001A16D5" w:rsidRDefault="001A16D5" w:rsidP="00A948E0">
      <w:pPr>
        <w:ind w:left="720"/>
        <w:rPr>
          <w:lang w:val="en-GB"/>
        </w:rPr>
      </w:pPr>
      <w:r>
        <w:rPr>
          <w:lang w:val="en-GB"/>
        </w:rPr>
        <w:t xml:space="preserve">To </w:t>
      </w:r>
      <w:r w:rsidR="005D6EC5">
        <w:rPr>
          <w:lang w:val="en-GB"/>
        </w:rPr>
        <w:t xml:space="preserve">report to </w:t>
      </w:r>
      <w:r>
        <w:rPr>
          <w:lang w:val="en-GB"/>
        </w:rPr>
        <w:t xml:space="preserve">the </w:t>
      </w:r>
      <w:r w:rsidR="004C6941">
        <w:rPr>
          <w:lang w:val="en-GB"/>
        </w:rPr>
        <w:t>Council</w:t>
      </w:r>
      <w:r w:rsidR="00D36F10">
        <w:rPr>
          <w:lang w:val="en-GB"/>
        </w:rPr>
        <w:t xml:space="preserve"> </w:t>
      </w:r>
      <w:r w:rsidR="005D6EC5">
        <w:rPr>
          <w:lang w:val="en-GB"/>
        </w:rPr>
        <w:t>the actual expenditure and income figures for 20</w:t>
      </w:r>
      <w:r w:rsidR="00B532C3">
        <w:rPr>
          <w:lang w:val="en-GB"/>
        </w:rPr>
        <w:t>2</w:t>
      </w:r>
      <w:r w:rsidR="00526FD7">
        <w:rPr>
          <w:lang w:val="en-GB"/>
        </w:rPr>
        <w:t>5</w:t>
      </w:r>
      <w:r w:rsidR="005D6EC5">
        <w:rPr>
          <w:lang w:val="en-GB"/>
        </w:rPr>
        <w:t>/</w:t>
      </w:r>
      <w:r w:rsidR="00D16B22">
        <w:rPr>
          <w:lang w:val="en-GB"/>
        </w:rPr>
        <w:t>2</w:t>
      </w:r>
      <w:r w:rsidR="00526FD7">
        <w:rPr>
          <w:lang w:val="en-GB"/>
        </w:rPr>
        <w:t>6</w:t>
      </w:r>
      <w:r w:rsidR="005D6EC5">
        <w:rPr>
          <w:lang w:val="en-GB"/>
        </w:rPr>
        <w:t>, how these compare with the Council’s 20</w:t>
      </w:r>
      <w:r w:rsidR="00B532C3">
        <w:rPr>
          <w:lang w:val="en-GB"/>
        </w:rPr>
        <w:t>2</w:t>
      </w:r>
      <w:r w:rsidR="00526FD7">
        <w:rPr>
          <w:lang w:val="en-GB"/>
        </w:rPr>
        <w:t>5</w:t>
      </w:r>
      <w:r w:rsidR="005D6EC5">
        <w:rPr>
          <w:lang w:val="en-GB"/>
        </w:rPr>
        <w:t>/</w:t>
      </w:r>
      <w:r w:rsidR="00D16B22">
        <w:rPr>
          <w:lang w:val="en-GB"/>
        </w:rPr>
        <w:t>2</w:t>
      </w:r>
      <w:r w:rsidR="00526FD7">
        <w:rPr>
          <w:lang w:val="en-GB"/>
        </w:rPr>
        <w:t>6</w:t>
      </w:r>
      <w:r w:rsidR="005D6EC5">
        <w:rPr>
          <w:lang w:val="en-GB"/>
        </w:rPr>
        <w:t xml:space="preserve"> budget and how it leaves the Council’s finances at the end of the financial year.</w:t>
      </w:r>
    </w:p>
    <w:p w14:paraId="43002EDE" w14:textId="77777777" w:rsidR="001A16D5" w:rsidRDefault="001A16D5" w:rsidP="00A948E0">
      <w:pPr>
        <w:rPr>
          <w:lang w:val="en-GB"/>
        </w:rPr>
      </w:pPr>
    </w:p>
    <w:p w14:paraId="7912E1AC" w14:textId="77777777" w:rsidR="001C45A9" w:rsidRDefault="00141AA6" w:rsidP="00A948E0">
      <w:pPr>
        <w:numPr>
          <w:ilvl w:val="0"/>
          <w:numId w:val="20"/>
        </w:numPr>
        <w:rPr>
          <w:b/>
          <w:u w:val="single"/>
          <w:lang w:val="en-GB"/>
        </w:rPr>
      </w:pPr>
      <w:r w:rsidRPr="00141AA6">
        <w:rPr>
          <w:b/>
          <w:u w:val="single"/>
          <w:lang w:val="en-GB"/>
        </w:rPr>
        <w:t>BACKGROUND</w:t>
      </w:r>
    </w:p>
    <w:p w14:paraId="4B4C68D0" w14:textId="77777777" w:rsidR="00A948E0" w:rsidRPr="00310653" w:rsidRDefault="00A948E0" w:rsidP="00A948E0">
      <w:pPr>
        <w:ind w:left="786"/>
        <w:rPr>
          <w:b/>
          <w:u w:val="single"/>
          <w:lang w:val="en-GB"/>
        </w:rPr>
      </w:pPr>
    </w:p>
    <w:p w14:paraId="61933CD9" w14:textId="77777777" w:rsidR="004411DD" w:rsidRPr="00F25A7E" w:rsidRDefault="00674220" w:rsidP="00A948E0">
      <w:pPr>
        <w:ind w:left="720"/>
        <w:rPr>
          <w:i/>
          <w:lang w:val="en-GB"/>
        </w:rPr>
      </w:pPr>
      <w:r w:rsidRPr="00F25A7E">
        <w:rPr>
          <w:lang w:val="en-GB"/>
        </w:rPr>
        <w:t>A</w:t>
      </w:r>
      <w:r w:rsidR="0052145D" w:rsidRPr="00F25A7E">
        <w:rPr>
          <w:lang w:val="en-GB"/>
        </w:rPr>
        <w:t xml:space="preserve"> </w:t>
      </w:r>
      <w:r w:rsidR="00256C50" w:rsidRPr="00F25A7E">
        <w:rPr>
          <w:lang w:val="en-GB"/>
        </w:rPr>
        <w:t xml:space="preserve">previous item on your agenda was the </w:t>
      </w:r>
      <w:r w:rsidR="0052145D" w:rsidRPr="00F25A7E">
        <w:rPr>
          <w:lang w:val="en-GB"/>
        </w:rPr>
        <w:t xml:space="preserve">report of </w:t>
      </w:r>
      <w:r w:rsidR="005A6DFB" w:rsidRPr="00F25A7E">
        <w:rPr>
          <w:lang w:val="en-GB"/>
        </w:rPr>
        <w:t xml:space="preserve">the Council’s internal </w:t>
      </w:r>
      <w:r w:rsidR="001C14BA" w:rsidRPr="00F25A7E">
        <w:rPr>
          <w:lang w:val="en-GB"/>
        </w:rPr>
        <w:t>auditor</w:t>
      </w:r>
      <w:r w:rsidR="00256C50" w:rsidRPr="00F25A7E">
        <w:rPr>
          <w:lang w:val="en-GB"/>
        </w:rPr>
        <w:t xml:space="preserve"> </w:t>
      </w:r>
      <w:r w:rsidR="002B5D38" w:rsidRPr="00F25A7E">
        <w:rPr>
          <w:lang w:val="en-GB"/>
        </w:rPr>
        <w:t>which</w:t>
      </w:r>
      <w:r w:rsidR="00256C50" w:rsidRPr="00F25A7E">
        <w:rPr>
          <w:lang w:val="en-GB"/>
        </w:rPr>
        <w:t>, I am pleased to note, i</w:t>
      </w:r>
      <w:r w:rsidR="0052145D" w:rsidRPr="00F25A7E">
        <w:rPr>
          <w:lang w:val="en-GB"/>
        </w:rPr>
        <w:t xml:space="preserve">ncludes the </w:t>
      </w:r>
      <w:r w:rsidR="006D1E01" w:rsidRPr="00F25A7E">
        <w:rPr>
          <w:lang w:val="en-GB"/>
        </w:rPr>
        <w:t>state</w:t>
      </w:r>
      <w:r w:rsidR="0052145D" w:rsidRPr="00F25A7E">
        <w:rPr>
          <w:lang w:val="en-GB"/>
        </w:rPr>
        <w:t xml:space="preserve">ment </w:t>
      </w:r>
      <w:r w:rsidR="006D1E01" w:rsidRPr="00F25A7E">
        <w:rPr>
          <w:lang w:val="en-GB"/>
        </w:rPr>
        <w:t xml:space="preserve">that </w:t>
      </w:r>
      <w:r w:rsidR="006D1E01" w:rsidRPr="00F25A7E">
        <w:rPr>
          <w:i/>
          <w:lang w:val="en-GB"/>
        </w:rPr>
        <w:t>‘</w:t>
      </w:r>
      <w:r w:rsidR="006232B5" w:rsidRPr="00F25A7E">
        <w:rPr>
          <w:i/>
          <w:lang w:val="en-GB"/>
        </w:rPr>
        <w:t>...there are no matters of any significance that need to be brought to your attention</w:t>
      </w:r>
      <w:r w:rsidR="006D1E01" w:rsidRPr="00F25A7E">
        <w:rPr>
          <w:i/>
          <w:lang w:val="en-GB"/>
        </w:rPr>
        <w:t>’</w:t>
      </w:r>
    </w:p>
    <w:p w14:paraId="64687A52" w14:textId="5DA7C8E1" w:rsidR="001A16D5" w:rsidRPr="00BE4C87" w:rsidRDefault="00256C50" w:rsidP="00A948E0">
      <w:pPr>
        <w:ind w:left="720"/>
        <w:rPr>
          <w:lang w:val="en-GB"/>
        </w:rPr>
      </w:pPr>
      <w:r w:rsidRPr="00BE4C87">
        <w:rPr>
          <w:lang w:val="en-GB"/>
        </w:rPr>
        <w:t>The final accounts for 202</w:t>
      </w:r>
      <w:r w:rsidR="00B4186E">
        <w:rPr>
          <w:lang w:val="en-GB"/>
        </w:rPr>
        <w:t>5</w:t>
      </w:r>
      <w:r w:rsidRPr="00BE4C87">
        <w:rPr>
          <w:lang w:val="en-GB"/>
        </w:rPr>
        <w:t>/2</w:t>
      </w:r>
      <w:r w:rsidR="00B4186E">
        <w:rPr>
          <w:lang w:val="en-GB"/>
        </w:rPr>
        <w:t>6</w:t>
      </w:r>
      <w:r w:rsidRPr="00BE4C87">
        <w:rPr>
          <w:lang w:val="en-GB"/>
        </w:rPr>
        <w:t xml:space="preserve"> are attached. </w:t>
      </w:r>
      <w:r w:rsidR="00A948E0">
        <w:rPr>
          <w:lang w:val="en-GB"/>
        </w:rPr>
        <w:t xml:space="preserve"> </w:t>
      </w:r>
      <w:r w:rsidR="00C222CF" w:rsidRPr="00BE4C87">
        <w:rPr>
          <w:lang w:val="en-GB"/>
        </w:rPr>
        <w:t xml:space="preserve">The Council is required to approve </w:t>
      </w:r>
      <w:r w:rsidR="00017E2F" w:rsidRPr="00BE4C87">
        <w:rPr>
          <w:lang w:val="en-GB"/>
        </w:rPr>
        <w:t xml:space="preserve">and publish </w:t>
      </w:r>
      <w:r w:rsidR="00C222CF" w:rsidRPr="00BE4C87">
        <w:rPr>
          <w:lang w:val="en-GB"/>
        </w:rPr>
        <w:t xml:space="preserve">the Annual </w:t>
      </w:r>
      <w:r w:rsidR="00030DB0" w:rsidRPr="00BE4C87">
        <w:rPr>
          <w:lang w:val="en-GB"/>
        </w:rPr>
        <w:t xml:space="preserve">Governance and Accountability </w:t>
      </w:r>
      <w:r w:rsidR="00A64DA6" w:rsidRPr="00BE4C87">
        <w:rPr>
          <w:lang w:val="en-GB"/>
        </w:rPr>
        <w:t>Return</w:t>
      </w:r>
      <w:r w:rsidR="00C222CF" w:rsidRPr="00BE4C87">
        <w:rPr>
          <w:lang w:val="en-GB"/>
        </w:rPr>
        <w:t xml:space="preserve"> </w:t>
      </w:r>
      <w:r w:rsidR="00017E2F" w:rsidRPr="00BE4C87">
        <w:rPr>
          <w:lang w:val="en-GB"/>
        </w:rPr>
        <w:t xml:space="preserve">(which includes key figures from the final accounts) by </w:t>
      </w:r>
      <w:r w:rsidR="00B4186E">
        <w:rPr>
          <w:lang w:val="en-GB"/>
        </w:rPr>
        <w:t>30</w:t>
      </w:r>
      <w:r w:rsidR="00B4186E" w:rsidRPr="00B4186E">
        <w:rPr>
          <w:vertAlign w:val="superscript"/>
          <w:lang w:val="en-GB"/>
        </w:rPr>
        <w:t>th</w:t>
      </w:r>
      <w:r w:rsidR="00B4186E">
        <w:rPr>
          <w:lang w:val="en-GB"/>
        </w:rPr>
        <w:t xml:space="preserve"> June</w:t>
      </w:r>
      <w:r w:rsidR="00030DB0" w:rsidRPr="00BE4C87">
        <w:rPr>
          <w:lang w:val="en-GB"/>
        </w:rPr>
        <w:t>.</w:t>
      </w:r>
      <w:r w:rsidR="00017E2F" w:rsidRPr="00BE4C87">
        <w:rPr>
          <w:lang w:val="en-GB"/>
        </w:rPr>
        <w:t xml:space="preserve"> </w:t>
      </w:r>
      <w:r w:rsidR="003F65B4" w:rsidRPr="00BE4C87">
        <w:rPr>
          <w:lang w:val="en-GB"/>
        </w:rPr>
        <w:t>PKF Littlejohn LL</w:t>
      </w:r>
      <w:r w:rsidR="000F426F">
        <w:rPr>
          <w:lang w:val="en-GB"/>
        </w:rPr>
        <w:t>P</w:t>
      </w:r>
      <w:r w:rsidR="003F65B4" w:rsidRPr="00BE4C87">
        <w:rPr>
          <w:lang w:val="en-GB"/>
        </w:rPr>
        <w:t xml:space="preserve"> will then conduct the external audit and during this time the accounts will be available for public inspection by any interested party wishing to exercise their statutory rights. </w:t>
      </w:r>
      <w:r w:rsidR="00A948E0">
        <w:rPr>
          <w:lang w:val="en-GB"/>
        </w:rPr>
        <w:t xml:space="preserve"> </w:t>
      </w:r>
      <w:r w:rsidR="00781645" w:rsidRPr="00BE4C87">
        <w:rPr>
          <w:lang w:val="en-GB"/>
        </w:rPr>
        <w:t xml:space="preserve">The publication date for final audited accounts is </w:t>
      </w:r>
      <w:r w:rsidR="003F65B4" w:rsidRPr="00BE4C87">
        <w:rPr>
          <w:lang w:val="en-GB"/>
        </w:rPr>
        <w:t>30</w:t>
      </w:r>
      <w:r w:rsidR="00781645" w:rsidRPr="00BE4C87">
        <w:rPr>
          <w:vertAlign w:val="superscript"/>
          <w:lang w:val="en-GB"/>
        </w:rPr>
        <w:t>th</w:t>
      </w:r>
      <w:r w:rsidR="00781645" w:rsidRPr="00BE4C87">
        <w:rPr>
          <w:lang w:val="en-GB"/>
        </w:rPr>
        <w:t xml:space="preserve"> September.</w:t>
      </w:r>
    </w:p>
    <w:p w14:paraId="172978EE" w14:textId="77777777" w:rsidR="001A16D5" w:rsidRPr="00526FD7" w:rsidRDefault="001A16D5" w:rsidP="00A948E0">
      <w:pPr>
        <w:rPr>
          <w:color w:val="EE0000"/>
          <w:lang w:val="en-GB"/>
        </w:rPr>
      </w:pPr>
    </w:p>
    <w:p w14:paraId="2D10ED79" w14:textId="77777777" w:rsidR="005C71BD" w:rsidRDefault="00D36F10" w:rsidP="00A948E0">
      <w:pPr>
        <w:numPr>
          <w:ilvl w:val="0"/>
          <w:numId w:val="20"/>
        </w:numPr>
        <w:tabs>
          <w:tab w:val="clear" w:pos="786"/>
          <w:tab w:val="num" w:pos="709"/>
        </w:tabs>
        <w:rPr>
          <w:b/>
          <w:u w:val="single"/>
          <w:lang w:val="en-GB"/>
        </w:rPr>
      </w:pPr>
      <w:r>
        <w:rPr>
          <w:b/>
          <w:u w:val="single"/>
          <w:lang w:val="en-GB"/>
        </w:rPr>
        <w:t>COMPARISON WITH ORIGINAL BUDGET</w:t>
      </w:r>
    </w:p>
    <w:p w14:paraId="259D3790" w14:textId="77777777" w:rsidR="00A948E0" w:rsidRPr="00310653" w:rsidRDefault="00A948E0" w:rsidP="00A948E0">
      <w:pPr>
        <w:tabs>
          <w:tab w:val="num" w:pos="709"/>
        </w:tabs>
        <w:ind w:left="786"/>
        <w:rPr>
          <w:b/>
          <w:u w:val="single"/>
          <w:lang w:val="en-GB"/>
        </w:rPr>
      </w:pPr>
    </w:p>
    <w:p w14:paraId="7D72F878" w14:textId="062B1B18" w:rsidR="000911B3" w:rsidRPr="00863699" w:rsidRDefault="009022C3" w:rsidP="00A948E0">
      <w:pPr>
        <w:ind w:left="709"/>
        <w:rPr>
          <w:lang w:val="en-GB"/>
        </w:rPr>
      </w:pPr>
      <w:r w:rsidRPr="00863699">
        <w:rPr>
          <w:lang w:val="en-GB"/>
        </w:rPr>
        <w:t xml:space="preserve">In the extract from </w:t>
      </w:r>
      <w:r w:rsidR="0008146C" w:rsidRPr="00863699">
        <w:rPr>
          <w:lang w:val="en-GB"/>
        </w:rPr>
        <w:t xml:space="preserve">the summary revenue account </w:t>
      </w:r>
      <w:r w:rsidRPr="00863699">
        <w:rPr>
          <w:lang w:val="en-GB"/>
        </w:rPr>
        <w:t xml:space="preserve">below </w:t>
      </w:r>
      <w:r w:rsidR="0008146C" w:rsidRPr="00863699">
        <w:rPr>
          <w:lang w:val="en-GB"/>
        </w:rPr>
        <w:t>you will see, halfway down</w:t>
      </w:r>
      <w:r w:rsidRPr="00863699">
        <w:rPr>
          <w:lang w:val="en-GB"/>
        </w:rPr>
        <w:t>,</w:t>
      </w:r>
      <w:r w:rsidR="0008146C" w:rsidRPr="00863699">
        <w:rPr>
          <w:lang w:val="en-GB"/>
        </w:rPr>
        <w:t xml:space="preserve"> that the ‘Total Net Expenditure’ shows as £</w:t>
      </w:r>
      <w:r w:rsidR="00B01707" w:rsidRPr="00863699">
        <w:rPr>
          <w:lang w:val="en-GB"/>
        </w:rPr>
        <w:t>504,180</w:t>
      </w:r>
      <w:r w:rsidR="0008146C" w:rsidRPr="00863699">
        <w:rPr>
          <w:lang w:val="en-GB"/>
        </w:rPr>
        <w:t xml:space="preserve"> in the Actual column compare</w:t>
      </w:r>
      <w:r w:rsidRPr="00863699">
        <w:rPr>
          <w:lang w:val="en-GB"/>
        </w:rPr>
        <w:t>d</w:t>
      </w:r>
      <w:r w:rsidR="0008146C" w:rsidRPr="00863699">
        <w:rPr>
          <w:lang w:val="en-GB"/>
        </w:rPr>
        <w:t xml:space="preserve"> with £</w:t>
      </w:r>
      <w:r w:rsidR="00B01707" w:rsidRPr="00863699">
        <w:rPr>
          <w:lang w:val="en-GB"/>
        </w:rPr>
        <w:t>503,955</w:t>
      </w:r>
      <w:r w:rsidR="0008146C" w:rsidRPr="00863699">
        <w:rPr>
          <w:lang w:val="en-GB"/>
        </w:rPr>
        <w:t xml:space="preserve"> in the Original Budget column.</w:t>
      </w:r>
      <w:r w:rsidR="00A948E0">
        <w:rPr>
          <w:lang w:val="en-GB"/>
        </w:rPr>
        <w:t xml:space="preserve"> </w:t>
      </w:r>
      <w:r w:rsidR="0008146C" w:rsidRPr="00863699">
        <w:rPr>
          <w:lang w:val="en-GB"/>
        </w:rPr>
        <w:t xml:space="preserve"> There is, therefore, an ‘</w:t>
      </w:r>
      <w:r w:rsidR="00B4186E" w:rsidRPr="00863699">
        <w:rPr>
          <w:lang w:val="en-GB"/>
        </w:rPr>
        <w:t>overspend</w:t>
      </w:r>
      <w:r w:rsidR="0008146C" w:rsidRPr="00863699">
        <w:rPr>
          <w:lang w:val="en-GB"/>
        </w:rPr>
        <w:t xml:space="preserve">’ of </w:t>
      </w:r>
      <w:r w:rsidR="00B4186E" w:rsidRPr="00863699">
        <w:rPr>
          <w:lang w:val="en-GB"/>
        </w:rPr>
        <w:t>just £225 for the year (£503,955 - £504,180 = overspend £225)</w:t>
      </w:r>
      <w:r w:rsidR="0008146C" w:rsidRPr="00863699">
        <w:rPr>
          <w:lang w:val="en-GB"/>
        </w:rPr>
        <w:t xml:space="preserve">. </w:t>
      </w:r>
    </w:p>
    <w:p w14:paraId="3EB318AB" w14:textId="77777777" w:rsidR="005F661E" w:rsidRDefault="005F661E" w:rsidP="00A948E0">
      <w:pPr>
        <w:ind w:left="786"/>
        <w:rPr>
          <w:lang w:val="en-GB"/>
        </w:rPr>
      </w:pPr>
    </w:p>
    <w:tbl>
      <w:tblPr>
        <w:tblW w:w="8397" w:type="dxa"/>
        <w:tblInd w:w="959" w:type="dxa"/>
        <w:tblLook w:val="04A0" w:firstRow="1" w:lastRow="0" w:firstColumn="1" w:lastColumn="0" w:noHBand="0" w:noVBand="1"/>
      </w:tblPr>
      <w:tblGrid>
        <w:gridCol w:w="4286"/>
        <w:gridCol w:w="284"/>
        <w:gridCol w:w="283"/>
        <w:gridCol w:w="384"/>
        <w:gridCol w:w="535"/>
        <w:gridCol w:w="1325"/>
        <w:gridCol w:w="1300"/>
      </w:tblGrid>
      <w:tr w:rsidR="00BE4C87" w:rsidRPr="00BD6A40" w14:paraId="4F0F6A71" w14:textId="77777777" w:rsidTr="00125411">
        <w:trPr>
          <w:trHeight w:val="300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225F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96F1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5BEA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FAF9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219C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957E1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Original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D3678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Actual </w:t>
            </w:r>
          </w:p>
        </w:tc>
      </w:tr>
      <w:tr w:rsidR="00BE4C87" w:rsidRPr="00BD6A40" w14:paraId="6630C0D3" w14:textId="77777777" w:rsidTr="00125411">
        <w:trPr>
          <w:trHeight w:val="300"/>
        </w:trPr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34A85" w14:textId="254F6C72" w:rsidR="00117E52" w:rsidRPr="00BD6A40" w:rsidRDefault="006B2766" w:rsidP="006B276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B2766">
              <w:rPr>
                <w:b/>
                <w:bCs/>
                <w:lang w:val="en-GB"/>
              </w:rPr>
              <w:t xml:space="preserve">TABLE </w:t>
            </w:r>
            <w:r w:rsidR="00F25A7E">
              <w:rPr>
                <w:b/>
                <w:bCs/>
                <w:lang w:val="en-GB"/>
              </w:rPr>
              <w:t>No</w:t>
            </w:r>
            <w:r>
              <w:rPr>
                <w:b/>
                <w:bCs/>
                <w:lang w:val="en-GB"/>
              </w:rPr>
              <w:t>1</w:t>
            </w:r>
            <w:r w:rsidR="00F25A7E">
              <w:rPr>
                <w:b/>
                <w:bCs/>
                <w:lang w:val="en-GB"/>
              </w:rPr>
              <w:t xml:space="preserve"> (Budget/Net Expenditure)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E7F25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09C70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E410A" w14:textId="7777777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06B8D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D7BD" w14:textId="2708D65E" w:rsidR="00117E52" w:rsidRPr="00BD6A40" w:rsidRDefault="00117E52" w:rsidP="00582FD8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Budg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et</w:t>
            </w:r>
            <w:r w:rsidR="001254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(£)</w:t>
            </w: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4D7E" w14:textId="64A84917" w:rsidR="00117E52" w:rsidRPr="00BD6A40" w:rsidRDefault="00117E52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(£</w:t>
            </w:r>
            <w:r w:rsidR="001254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Net Exp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Pr="00BD6A40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BE4C87" w:rsidRPr="00BD6A40" w14:paraId="0A156DF9" w14:textId="77777777" w:rsidTr="00125411">
        <w:trPr>
          <w:trHeight w:val="300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6247A0" w14:textId="77777777" w:rsidR="00117E52" w:rsidRPr="00BD6A40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6A40">
              <w:rPr>
                <w:rFonts w:asciiTheme="minorHAnsi" w:hAnsiTheme="minorHAnsi" w:cs="Arial"/>
                <w:sz w:val="22"/>
                <w:szCs w:val="22"/>
              </w:rPr>
              <w:t>1. ADMINISTRATION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B153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7BB8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1019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1B94D5" w14:textId="1DAB725C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63,107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296BB3" w14:textId="723E2C09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74,185</w:t>
            </w:r>
          </w:p>
        </w:tc>
      </w:tr>
      <w:tr w:rsidR="00BE4C87" w:rsidRPr="00BD6A40" w14:paraId="52BC58E9" w14:textId="77777777" w:rsidTr="00125411">
        <w:trPr>
          <w:trHeight w:val="300"/>
        </w:trPr>
        <w:tc>
          <w:tcPr>
            <w:tcW w:w="48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28A8EC" w14:textId="77777777" w:rsidR="00117E52" w:rsidRPr="00BD6A40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6A40">
              <w:rPr>
                <w:rFonts w:asciiTheme="minorHAnsi" w:hAnsiTheme="minorHAnsi" w:cs="Arial"/>
                <w:sz w:val="22"/>
                <w:szCs w:val="22"/>
              </w:rPr>
              <w:t xml:space="preserve">2. COST OF DEMOCRACY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50CB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1FE8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90B837" w14:textId="6F27BC87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58,972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F7BA8B" w14:textId="6B0A9745" w:rsidR="00117E52" w:rsidRPr="00863699" w:rsidRDefault="00BE4C87" w:rsidP="00336C6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53,922</w:t>
            </w:r>
          </w:p>
        </w:tc>
      </w:tr>
      <w:tr w:rsidR="00BE4C87" w:rsidRPr="00BD6A40" w14:paraId="53664D64" w14:textId="77777777" w:rsidTr="00125411">
        <w:trPr>
          <w:trHeight w:val="300"/>
        </w:trPr>
        <w:tc>
          <w:tcPr>
            <w:tcW w:w="48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ABCA93" w14:textId="77777777" w:rsidR="00117E52" w:rsidRPr="00BD6A40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6A40">
              <w:rPr>
                <w:rFonts w:asciiTheme="minorHAnsi" w:hAnsiTheme="minorHAnsi" w:cs="Arial"/>
                <w:sz w:val="22"/>
                <w:szCs w:val="22"/>
              </w:rPr>
              <w:t>3.SERVICES TO THE PUBLIC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1A68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B025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FD3D4F" w14:textId="23265B81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13,050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25A637" w14:textId="14F96C3D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17,419</w:t>
            </w:r>
          </w:p>
        </w:tc>
      </w:tr>
      <w:tr w:rsidR="00BE4C87" w:rsidRPr="00BD6A40" w14:paraId="053AE767" w14:textId="77777777" w:rsidTr="00125411">
        <w:trPr>
          <w:trHeight w:val="300"/>
        </w:trPr>
        <w:tc>
          <w:tcPr>
            <w:tcW w:w="52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B3E520" w14:textId="77777777" w:rsidR="00117E52" w:rsidRPr="00BD6A40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6A40">
              <w:rPr>
                <w:rFonts w:asciiTheme="minorHAnsi" w:hAnsiTheme="minorHAnsi" w:cs="Arial"/>
                <w:sz w:val="22"/>
                <w:szCs w:val="22"/>
              </w:rPr>
              <w:t>4. MEMORIAL PARK + TOWN GARDENS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269B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C52AADA" w14:textId="14A93EE0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168,858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713CEC" w14:textId="32056326" w:rsidR="00117E52" w:rsidRPr="00863699" w:rsidRDefault="00BE4C87" w:rsidP="00336C6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155,728</w:t>
            </w:r>
          </w:p>
        </w:tc>
      </w:tr>
      <w:tr w:rsidR="00BE4C87" w:rsidRPr="00BD6A40" w14:paraId="22653B8B" w14:textId="77777777" w:rsidTr="00125411">
        <w:trPr>
          <w:trHeight w:val="300"/>
        </w:trPr>
        <w:tc>
          <w:tcPr>
            <w:tcW w:w="45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CC20B3" w14:textId="77777777" w:rsidR="00117E52" w:rsidRPr="00BD6A40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6A40">
              <w:rPr>
                <w:rFonts w:asciiTheme="minorHAnsi" w:hAnsiTheme="minorHAnsi" w:cs="Arial"/>
                <w:sz w:val="22"/>
                <w:szCs w:val="22"/>
              </w:rPr>
              <w:t>5. CEMETERY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5B68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593C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F345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6297AC" w14:textId="2F59D0EF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80,650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619A32" w14:textId="7ED3B9C3" w:rsidR="00117E52" w:rsidRPr="00863699" w:rsidRDefault="00BE4C87" w:rsidP="002E01E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76,004</w:t>
            </w:r>
          </w:p>
        </w:tc>
      </w:tr>
      <w:tr w:rsidR="00BE4C87" w:rsidRPr="00BD6A40" w14:paraId="017EE814" w14:textId="77777777" w:rsidTr="00125411">
        <w:trPr>
          <w:trHeight w:val="300"/>
        </w:trPr>
        <w:tc>
          <w:tcPr>
            <w:tcW w:w="45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AA12FF" w14:textId="77777777" w:rsidR="00117E52" w:rsidRPr="00BD6A40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6A40">
              <w:rPr>
                <w:rFonts w:asciiTheme="minorHAnsi" w:hAnsiTheme="minorHAnsi" w:cs="Arial"/>
                <w:sz w:val="22"/>
                <w:szCs w:val="22"/>
              </w:rPr>
              <w:t>6. ALLOTMENTS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8FC3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FE7D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C2FE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7B83488" w14:textId="2E21DD23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14,418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C43055" w14:textId="16BD4558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13,241</w:t>
            </w:r>
          </w:p>
        </w:tc>
      </w:tr>
      <w:tr w:rsidR="00BE4C87" w:rsidRPr="00BD6A40" w14:paraId="69B097AC" w14:textId="77777777" w:rsidTr="00125411">
        <w:trPr>
          <w:trHeight w:val="300"/>
        </w:trPr>
        <w:tc>
          <w:tcPr>
            <w:tcW w:w="45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99E768" w14:textId="77777777" w:rsidR="00117E52" w:rsidRPr="00BD6A40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6A40">
              <w:rPr>
                <w:rFonts w:asciiTheme="minorHAnsi" w:hAnsiTheme="minorHAnsi" w:cs="Arial"/>
                <w:sz w:val="22"/>
                <w:szCs w:val="22"/>
              </w:rPr>
              <w:t>7. NON-RECURRING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8990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1F86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2224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A00A9DA" w14:textId="2B09E093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18,200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80E3D1" w14:textId="152B15ED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17,393</w:t>
            </w:r>
          </w:p>
        </w:tc>
      </w:tr>
      <w:tr w:rsidR="00BE4C87" w:rsidRPr="00BD6A40" w14:paraId="68980AF0" w14:textId="77777777" w:rsidTr="004471E8">
        <w:trPr>
          <w:trHeight w:val="300"/>
        </w:trPr>
        <w:tc>
          <w:tcPr>
            <w:tcW w:w="4853" w:type="dxa"/>
            <w:gridSpan w:val="3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6B79E04" w14:textId="77777777" w:rsidR="00117E52" w:rsidRPr="00BD6A40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D6A40">
              <w:rPr>
                <w:rFonts w:asciiTheme="minorHAnsi" w:hAnsiTheme="minorHAnsi" w:cs="Arial"/>
                <w:sz w:val="22"/>
                <w:szCs w:val="22"/>
              </w:rPr>
              <w:t>8. STOURPORT CIVIC CENTRE</w:t>
            </w: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35D4F2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898A1A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83E64D" w14:textId="3E4AF1E9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4,900</w:t>
            </w: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271687" w14:textId="0773E274" w:rsidR="00117E52" w:rsidRPr="00863699" w:rsidRDefault="00BE4C87" w:rsidP="00F80871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15,390</w:t>
            </w:r>
          </w:p>
        </w:tc>
      </w:tr>
      <w:tr w:rsidR="00BE4C87" w:rsidRPr="00BD6A40" w14:paraId="07B63A36" w14:textId="77777777" w:rsidTr="004471E8">
        <w:trPr>
          <w:trHeight w:val="315"/>
        </w:trPr>
        <w:tc>
          <w:tcPr>
            <w:tcW w:w="4286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E8877C" w14:textId="77777777" w:rsidR="00117E52" w:rsidRPr="002E01E7" w:rsidRDefault="00117E52" w:rsidP="0041160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9. STOURPORT RIVERSIDE</w:t>
            </w:r>
          </w:p>
        </w:tc>
        <w:tc>
          <w:tcPr>
            <w:tcW w:w="284" w:type="dxa"/>
            <w:shd w:val="clear" w:color="auto" w:fill="FFFFFF" w:themeFill="background1"/>
            <w:noWrap/>
            <w:vAlign w:val="bottom"/>
          </w:tcPr>
          <w:p w14:paraId="12A261E9" w14:textId="77777777" w:rsidR="00117E52" w:rsidRPr="002E01E7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  <w:noWrap/>
            <w:vAlign w:val="bottom"/>
          </w:tcPr>
          <w:p w14:paraId="7A92F485" w14:textId="77777777" w:rsidR="00117E52" w:rsidRPr="002E01E7" w:rsidRDefault="00117E52" w:rsidP="00F25A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FFFFFF" w:themeFill="background1"/>
            <w:noWrap/>
            <w:vAlign w:val="bottom"/>
          </w:tcPr>
          <w:p w14:paraId="72BB7A17" w14:textId="77777777" w:rsidR="00117E52" w:rsidRPr="002E01E7" w:rsidRDefault="00117E52" w:rsidP="00F25A7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D9CFE3" w14:textId="77777777" w:rsidR="00117E52" w:rsidRPr="002E01E7" w:rsidRDefault="00117E5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0927DB" w14:textId="1BE10748" w:rsidR="00117E52" w:rsidRPr="00863699" w:rsidRDefault="00BE4C87" w:rsidP="00CB28F4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863699">
              <w:rPr>
                <w:rFonts w:ascii="Aptos" w:hAnsi="Aptos" w:cs="Arial"/>
                <w:sz w:val="22"/>
                <w:szCs w:val="22"/>
              </w:rPr>
              <w:t>84,000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4AE815" w14:textId="653E7EC6" w:rsidR="00117E52" w:rsidRPr="00863699" w:rsidRDefault="00BE4C87" w:rsidP="00CB28F4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863699">
              <w:rPr>
                <w:rFonts w:ascii="Aptos" w:hAnsi="Aptos" w:cs="Arial"/>
                <w:sz w:val="22"/>
                <w:szCs w:val="22"/>
              </w:rPr>
              <w:t>84,938</w:t>
            </w:r>
          </w:p>
        </w:tc>
      </w:tr>
      <w:tr w:rsidR="00BE4C87" w:rsidRPr="00BD6A40" w14:paraId="626CB292" w14:textId="77777777" w:rsidTr="00125411">
        <w:trPr>
          <w:trHeight w:val="315"/>
        </w:trPr>
        <w:tc>
          <w:tcPr>
            <w:tcW w:w="4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9945C9" w14:textId="5F56CCF1" w:rsidR="00117E52" w:rsidRPr="00BD6A40" w:rsidRDefault="00117E52" w:rsidP="0041160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117E52">
              <w:rPr>
                <w:rFonts w:asciiTheme="minorHAnsi" w:hAnsiTheme="minorHAnsi" w:cs="Arial"/>
                <w:sz w:val="22"/>
                <w:szCs w:val="22"/>
              </w:rPr>
              <w:t>10. COMMUNITY CENTRE, MEMORIAL PARK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7098E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D68F1C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3D0F33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A4559D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53A75" w14:textId="06630F07" w:rsidR="00117E52" w:rsidRPr="00863699" w:rsidRDefault="001A360C" w:rsidP="00CB28F4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-2,200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06CDB" w14:textId="64D39945" w:rsidR="00117E52" w:rsidRPr="00863699" w:rsidRDefault="00BE4C87" w:rsidP="00CB28F4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-4,04</w:t>
            </w:r>
            <w:r w:rsidR="00B01707" w:rsidRPr="00863699"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BE4C87" w:rsidRPr="00BD6A40" w14:paraId="45BE1A1F" w14:textId="77777777" w:rsidTr="00125411">
        <w:trPr>
          <w:trHeight w:val="315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E3CF27" w14:textId="76206ACE" w:rsidR="00117E52" w:rsidRPr="00BD6A40" w:rsidRDefault="00117E52" w:rsidP="00411608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TOT</w:t>
            </w:r>
            <w:r w:rsidR="00826BF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L NET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</w:t>
            </w: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XPENDITURE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8F0B72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B6ED0E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B1075B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B0A7A0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1B82DC" w14:textId="4A0C1B59" w:rsidR="00117E52" w:rsidRPr="00863699" w:rsidRDefault="00BE4C87" w:rsidP="00CB28F4">
            <w:pPr>
              <w:jc w:val="right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503,955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7814AE" w14:textId="601E4391" w:rsidR="00117E52" w:rsidRPr="00863699" w:rsidRDefault="00B01707" w:rsidP="00CB28F4">
            <w:pPr>
              <w:jc w:val="right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504,180</w:t>
            </w:r>
            <w:r w:rsidR="00117E52" w:rsidRPr="0086369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BE4C87" w:rsidRPr="00BD6A40" w14:paraId="3C33B340" w14:textId="77777777" w:rsidTr="00125411">
        <w:trPr>
          <w:trHeight w:val="300"/>
        </w:trPr>
        <w:tc>
          <w:tcPr>
            <w:tcW w:w="523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465600F" w14:textId="77777777" w:rsidR="00467768" w:rsidRDefault="00467768" w:rsidP="00F8087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57BB6C4" w14:textId="2C159E44" w:rsidR="00171EB2" w:rsidRPr="00171EB2" w:rsidRDefault="00171EB2" w:rsidP="00F8087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71EB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Funded by:</w:t>
            </w:r>
          </w:p>
          <w:p w14:paraId="28FCF8F8" w14:textId="7B2CEC8C" w:rsidR="00117E52" w:rsidRPr="00BD6A40" w:rsidRDefault="00117E52" w:rsidP="00F8087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  <w:r w:rsidRPr="00BD6A4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BD6A40">
              <w:rPr>
                <w:rFonts w:asciiTheme="minorHAnsi" w:hAnsiTheme="minorHAnsi" w:cs="Arial"/>
                <w:sz w:val="22"/>
                <w:szCs w:val="22"/>
              </w:rPr>
              <w:t>RECEPT ON WYRE FOREST D. C.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1B57ACE" w14:textId="77777777" w:rsidR="00117E52" w:rsidRPr="00BD6A40" w:rsidRDefault="00117E5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A352667" w14:textId="605F9C25" w:rsidR="00117E52" w:rsidRPr="00863699" w:rsidRDefault="00BE4C87" w:rsidP="00CB28F4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527,511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40EF0AC" w14:textId="13647754" w:rsidR="00117E52" w:rsidRPr="00863699" w:rsidRDefault="00B01707" w:rsidP="00CB28F4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527,511</w:t>
            </w:r>
          </w:p>
        </w:tc>
      </w:tr>
      <w:tr w:rsidR="00BE4C87" w:rsidRPr="00BD6A40" w14:paraId="7ECE17F4" w14:textId="77777777" w:rsidTr="00125411">
        <w:trPr>
          <w:trHeight w:val="119"/>
        </w:trPr>
        <w:tc>
          <w:tcPr>
            <w:tcW w:w="5237" w:type="dxa"/>
            <w:gridSpan w:val="4"/>
            <w:tcBorders>
              <w:left w:val="single" w:sz="4" w:space="0" w:color="auto"/>
            </w:tcBorders>
            <w:noWrap/>
            <w:vAlign w:val="bottom"/>
          </w:tcPr>
          <w:p w14:paraId="0F83BA46" w14:textId="561D5EEE" w:rsidR="00467768" w:rsidRDefault="00467768" w:rsidP="00F8087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  <w:noWrap/>
            <w:vAlign w:val="bottom"/>
          </w:tcPr>
          <w:p w14:paraId="4B8DD3D7" w14:textId="77777777" w:rsidR="00467768" w:rsidRPr="00BD6A40" w:rsidRDefault="0046776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B04B2BA" w14:textId="38D5BA1A" w:rsidR="00467768" w:rsidRPr="00863699" w:rsidRDefault="00467768" w:rsidP="00CB28F4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495853" w14:textId="24ABDA10" w:rsidR="00467768" w:rsidRPr="00863699" w:rsidRDefault="00467768" w:rsidP="00CB28F4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BE4C87" w:rsidRPr="00BD6A40" w14:paraId="610BE2F2" w14:textId="77777777" w:rsidTr="00125411">
        <w:trPr>
          <w:trHeight w:val="315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79D1946B" w14:textId="4375773E" w:rsidR="00117E52" w:rsidRPr="00BD6A40" w:rsidRDefault="00117E52" w:rsidP="00CB28F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DEFICIT FOR</w:t>
            </w: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YEAR </w:t>
            </w:r>
          </w:p>
        </w:tc>
        <w:tc>
          <w:tcPr>
            <w:tcW w:w="284" w:type="dxa"/>
            <w:tcBorders>
              <w:top w:val="single" w:sz="4" w:space="0" w:color="auto"/>
              <w:bottom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7837CB0C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bottom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0F758712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double" w:sz="6" w:space="0" w:color="auto"/>
            </w:tcBorders>
            <w:shd w:val="clear" w:color="000000" w:fill="C0C0C0"/>
            <w:noWrap/>
            <w:vAlign w:val="bottom"/>
            <w:hideMark/>
          </w:tcPr>
          <w:p w14:paraId="2ACB6CD2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951323" w14:textId="77777777" w:rsidR="00117E52" w:rsidRPr="00BD6A40" w:rsidRDefault="00117E5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6A4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A0C0553" w14:textId="730D2E32" w:rsidR="00117E52" w:rsidRPr="00863699" w:rsidRDefault="005B2310" w:rsidP="00CB28F4">
            <w:pPr>
              <w:jc w:val="right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-</w:t>
            </w:r>
            <w:r w:rsidR="00BE4C87" w:rsidRPr="0086369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23,556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35124C" w14:textId="461500B9" w:rsidR="00117E52" w:rsidRPr="00863699" w:rsidRDefault="005B2310" w:rsidP="001B5659">
            <w:pPr>
              <w:jc w:val="right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-</w:t>
            </w:r>
            <w:r w:rsidR="00B01707" w:rsidRPr="0086369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23,331</w:t>
            </w:r>
          </w:p>
        </w:tc>
      </w:tr>
    </w:tbl>
    <w:p w14:paraId="200E4924" w14:textId="77777777" w:rsidR="00582FD8" w:rsidRDefault="00582FD8" w:rsidP="000911B3">
      <w:pPr>
        <w:ind w:left="786"/>
        <w:jc w:val="both"/>
        <w:rPr>
          <w:lang w:val="en-GB"/>
        </w:rPr>
      </w:pPr>
    </w:p>
    <w:p w14:paraId="5F189AC8" w14:textId="62CD390F" w:rsidR="00335CBD" w:rsidRDefault="00335CBD" w:rsidP="00A948E0">
      <w:pPr>
        <w:rPr>
          <w:lang w:val="en-GB"/>
        </w:rPr>
      </w:pPr>
    </w:p>
    <w:p w14:paraId="49621D7E" w14:textId="7612E297" w:rsidR="002B3C09" w:rsidRPr="00B01707" w:rsidRDefault="002D117E" w:rsidP="00A948E0">
      <w:pPr>
        <w:rPr>
          <w:lang w:val="en-GB"/>
        </w:rPr>
      </w:pPr>
      <w:r w:rsidRPr="00B01707">
        <w:rPr>
          <w:lang w:val="en-GB"/>
        </w:rPr>
        <w:t>T</w:t>
      </w:r>
      <w:r w:rsidR="002B3C09" w:rsidRPr="00B01707">
        <w:rPr>
          <w:lang w:val="en-GB"/>
        </w:rPr>
        <w:t xml:space="preserve">he </w:t>
      </w:r>
      <w:r w:rsidR="00BE22AC" w:rsidRPr="00B01707">
        <w:rPr>
          <w:lang w:val="en-GB"/>
        </w:rPr>
        <w:t>variations</w:t>
      </w:r>
      <w:r w:rsidR="00B4186E">
        <w:rPr>
          <w:lang w:val="en-GB"/>
        </w:rPr>
        <w:t xml:space="preserve"> in spend against the budgets for the year, m</w:t>
      </w:r>
      <w:r w:rsidR="001D24C5" w:rsidRPr="00B01707">
        <w:rPr>
          <w:lang w:val="en-GB"/>
        </w:rPr>
        <w:t xml:space="preserve">ost </w:t>
      </w:r>
      <w:r w:rsidRPr="00B01707">
        <w:rPr>
          <w:lang w:val="en-GB"/>
        </w:rPr>
        <w:t>of which</w:t>
      </w:r>
      <w:r w:rsidR="00411608" w:rsidRPr="00B01707">
        <w:rPr>
          <w:lang w:val="en-GB"/>
        </w:rPr>
        <w:t xml:space="preserve"> </w:t>
      </w:r>
      <w:r w:rsidRPr="00B01707">
        <w:rPr>
          <w:lang w:val="en-GB"/>
        </w:rPr>
        <w:t xml:space="preserve">were drawn to the attention of </w:t>
      </w:r>
      <w:r w:rsidR="00011FCA">
        <w:rPr>
          <w:lang w:val="en-GB"/>
        </w:rPr>
        <w:t xml:space="preserve">the </w:t>
      </w:r>
      <w:r w:rsidRPr="00B01707">
        <w:rPr>
          <w:lang w:val="en-GB"/>
        </w:rPr>
        <w:t>Finance Committee in the budget report in February</w:t>
      </w:r>
      <w:r w:rsidR="008C3A5B" w:rsidRPr="00B01707">
        <w:rPr>
          <w:lang w:val="en-GB"/>
        </w:rPr>
        <w:t xml:space="preserve"> as part of the revised estimates for 20</w:t>
      </w:r>
      <w:r w:rsidR="00CB28F4" w:rsidRPr="00B01707">
        <w:rPr>
          <w:lang w:val="en-GB"/>
        </w:rPr>
        <w:t>2</w:t>
      </w:r>
      <w:r w:rsidR="00B4186E">
        <w:rPr>
          <w:lang w:val="en-GB"/>
        </w:rPr>
        <w:t>5</w:t>
      </w:r>
      <w:r w:rsidR="008C3A5B" w:rsidRPr="00B01707">
        <w:rPr>
          <w:lang w:val="en-GB"/>
        </w:rPr>
        <w:t>/</w:t>
      </w:r>
      <w:r w:rsidR="00D16B22" w:rsidRPr="00B01707">
        <w:rPr>
          <w:lang w:val="en-GB"/>
        </w:rPr>
        <w:t>2</w:t>
      </w:r>
      <w:r w:rsidR="00B4186E">
        <w:rPr>
          <w:lang w:val="en-GB"/>
        </w:rPr>
        <w:t>6</w:t>
      </w:r>
      <w:r w:rsidRPr="00B01707">
        <w:rPr>
          <w:lang w:val="en-GB"/>
        </w:rPr>
        <w:t>,</w:t>
      </w:r>
      <w:r w:rsidR="00BE22AC" w:rsidRPr="00B01707">
        <w:rPr>
          <w:lang w:val="en-GB"/>
        </w:rPr>
        <w:t xml:space="preserve"> </w:t>
      </w:r>
      <w:r w:rsidR="002B3C09" w:rsidRPr="00B01707">
        <w:rPr>
          <w:lang w:val="en-GB"/>
        </w:rPr>
        <w:t>are as follows:</w:t>
      </w:r>
    </w:p>
    <w:p w14:paraId="541255D8" w14:textId="77777777" w:rsidR="00411608" w:rsidRPr="00526FD7" w:rsidRDefault="00411608" w:rsidP="00A948E0">
      <w:pPr>
        <w:ind w:left="720"/>
        <w:rPr>
          <w:color w:val="EE0000"/>
          <w:lang w:val="en-GB"/>
        </w:rPr>
      </w:pPr>
    </w:p>
    <w:p w14:paraId="5A49A4A2" w14:textId="2C709596" w:rsidR="00BE4C87" w:rsidRPr="006B2766" w:rsidRDefault="006B2766" w:rsidP="00C52FCF">
      <w:pPr>
        <w:ind w:left="720" w:hanging="720"/>
        <w:jc w:val="both"/>
        <w:rPr>
          <w:b/>
          <w:bCs/>
          <w:lang w:val="en-GB"/>
        </w:rPr>
      </w:pPr>
      <w:r w:rsidRPr="006B2766">
        <w:rPr>
          <w:b/>
          <w:bCs/>
          <w:lang w:val="en-GB"/>
        </w:rPr>
        <w:t xml:space="preserve">TABLE </w:t>
      </w:r>
      <w:r w:rsidR="00F25A7E">
        <w:rPr>
          <w:b/>
          <w:bCs/>
          <w:lang w:val="en-GB"/>
        </w:rPr>
        <w:t>No</w:t>
      </w:r>
      <w:r w:rsidRPr="006B2766">
        <w:rPr>
          <w:b/>
          <w:bCs/>
          <w:lang w:val="en-GB"/>
        </w:rPr>
        <w:t>2</w:t>
      </w:r>
      <w:r w:rsidR="002B3C09" w:rsidRPr="006B2766">
        <w:rPr>
          <w:b/>
          <w:bCs/>
          <w:lang w:val="en-GB"/>
        </w:rPr>
        <w:tab/>
      </w:r>
      <w:r w:rsidR="00F25A7E">
        <w:rPr>
          <w:b/>
          <w:bCs/>
          <w:lang w:val="en-GB"/>
        </w:rPr>
        <w:t>(Variances)</w:t>
      </w:r>
      <w:r w:rsidR="00FF4674" w:rsidRPr="006B2766">
        <w:rPr>
          <w:b/>
          <w:bCs/>
          <w:lang w:val="en-GB"/>
        </w:rPr>
        <w:tab/>
      </w:r>
    </w:p>
    <w:tbl>
      <w:tblPr>
        <w:tblW w:w="9926" w:type="dxa"/>
        <w:tblLook w:val="04A0" w:firstRow="1" w:lastRow="0" w:firstColumn="1" w:lastColumn="0" w:noHBand="0" w:noVBand="1"/>
      </w:tblPr>
      <w:tblGrid>
        <w:gridCol w:w="4106"/>
        <w:gridCol w:w="1300"/>
        <w:gridCol w:w="4520"/>
      </w:tblGrid>
      <w:tr w:rsidR="00BE4C87" w14:paraId="13950F38" w14:textId="77777777" w:rsidTr="00B0170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6677C" w14:textId="77777777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Departments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EE32" w14:textId="77777777" w:rsidR="00BE4C87" w:rsidRDefault="00BE4C87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2025/26 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A83E" w14:textId="77777777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COMMENTS / Explanations of Variances</w:t>
            </w:r>
          </w:p>
        </w:tc>
      </w:tr>
      <w:tr w:rsidR="00BE4C87" w14:paraId="01AFAF17" w14:textId="77777777" w:rsidTr="00B0170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58FC3" w14:textId="77777777" w:rsidR="00BE4C87" w:rsidRDefault="00BE4C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9236D" w14:textId="77777777" w:rsidR="00BE4C87" w:rsidRDefault="00BE4C87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£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0E28B" w14:textId="77777777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E4C87" w14:paraId="49E86C01" w14:textId="77777777" w:rsidTr="00B0170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CA87F" w14:textId="77777777" w:rsidR="00BE4C87" w:rsidRDefault="00BE4C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8F13E" w14:textId="77777777" w:rsidR="00BE4C87" w:rsidRDefault="00BE4C87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(-o/spend)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BD7F4" w14:textId="77777777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E4C87" w14:paraId="6A90B817" w14:textId="77777777" w:rsidTr="00B01707">
        <w:trPr>
          <w:trHeight w:val="5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43D53" w14:textId="77777777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ADMINISTRATION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9DA1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-11,078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E25C" w14:textId="12DE6E7E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Underspend on salar</w:t>
            </w:r>
            <w:r w:rsidR="00734A7A">
              <w:rPr>
                <w:rFonts w:ascii="Aptos Narrow" w:hAnsi="Aptos Narrow"/>
                <w:color w:val="000000"/>
                <w:sz w:val="22"/>
                <w:szCs w:val="22"/>
              </w:rPr>
              <w:t xml:space="preserve">y costs, but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outweighed by training and indirect temporary staff costs </w:t>
            </w:r>
          </w:p>
        </w:tc>
      </w:tr>
      <w:tr w:rsidR="00BE4C87" w14:paraId="252ABAF0" w14:textId="77777777" w:rsidTr="00B01707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32DEF" w14:textId="77777777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COST OF DEMOCRACY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61306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5,050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A7EB" w14:textId="217B3DF8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Underspend in relation to salar</w:t>
            </w:r>
            <w:r w:rsidR="00E1043B">
              <w:rPr>
                <w:rFonts w:ascii="Aptos Narrow" w:hAnsi="Aptos Narrow"/>
                <w:color w:val="000000"/>
                <w:sz w:val="22"/>
                <w:szCs w:val="22"/>
              </w:rPr>
              <w:t xml:space="preserve">y costs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and mayoral expenses</w:t>
            </w:r>
          </w:p>
        </w:tc>
      </w:tr>
      <w:tr w:rsidR="00BE4C87" w14:paraId="6B036382" w14:textId="77777777" w:rsidTr="00B01707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2577C" w14:textId="77777777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SERVICES TO THE PUBLIC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32922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-4,369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DC535" w14:textId="78C087A4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Additional utility costs in relation to Christmas Lights costs &amp; town clock maintenance</w:t>
            </w:r>
            <w:r w:rsidR="00294305">
              <w:rPr>
                <w:rFonts w:ascii="Aptos Narrow" w:hAnsi="Aptos Narrow"/>
                <w:color w:val="000000"/>
                <w:sz w:val="22"/>
                <w:szCs w:val="22"/>
              </w:rPr>
              <w:t xml:space="preserve"> generated an overspend</w:t>
            </w:r>
          </w:p>
        </w:tc>
      </w:tr>
      <w:tr w:rsidR="00BE4C87" w14:paraId="259CB996" w14:textId="77777777" w:rsidTr="00B01707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D6996" w14:textId="73000B08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MEMORIAL PARK</w:t>
            </w:r>
            <w:r w:rsidR="00F25A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TOWN GARDENS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886F8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13,130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AC16" w14:textId="77777777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Underspend against salaries and maintenance of grounds costs</w:t>
            </w:r>
          </w:p>
        </w:tc>
      </w:tr>
      <w:tr w:rsidR="00BE4C87" w14:paraId="2C9BD0A4" w14:textId="77777777" w:rsidTr="00B01707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8710F" w14:textId="77777777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CEMETERY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FD73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4,646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91D09" w14:textId="75776C11" w:rsidR="00BE4C87" w:rsidRDefault="00734A7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Underspend on salary costs </w:t>
            </w:r>
          </w:p>
        </w:tc>
      </w:tr>
      <w:tr w:rsidR="00BE4C87" w14:paraId="7DD18887" w14:textId="77777777" w:rsidTr="00B01707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FEC68" w14:textId="77777777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ALLOTMENTS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0E6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1,177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9FC8" w14:textId="21CE188A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Underspend on salar</w:t>
            </w:r>
            <w:r w:rsidR="00734A7A">
              <w:rPr>
                <w:rFonts w:ascii="Aptos Narrow" w:hAnsi="Aptos Narrow"/>
                <w:color w:val="000000"/>
                <w:sz w:val="22"/>
                <w:szCs w:val="22"/>
              </w:rPr>
              <w:t>y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costs </w:t>
            </w:r>
          </w:p>
        </w:tc>
      </w:tr>
      <w:tr w:rsidR="00BE4C87" w14:paraId="768A536F" w14:textId="77777777" w:rsidTr="00B01707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FB12E" w14:textId="77777777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NON-RECURRING EXPENDITURE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D2194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E0BDF" w14:textId="77777777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Underspend against planting budget</w:t>
            </w:r>
          </w:p>
        </w:tc>
      </w:tr>
      <w:tr w:rsidR="00BE4C87" w14:paraId="350420AB" w14:textId="77777777" w:rsidTr="00B01707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FB90B" w14:textId="77777777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STOURPORT CIVIC CENTRE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AAE3D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-10,490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52CB" w14:textId="70DA7B40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Over</w:t>
            </w:r>
            <w:r w:rsidR="00B01707">
              <w:rPr>
                <w:rFonts w:ascii="Aptos Narrow" w:hAnsi="Aptos Narrow"/>
                <w:color w:val="000000"/>
                <w:sz w:val="22"/>
                <w:szCs w:val="22"/>
              </w:rPr>
              <w:t>spend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due to addit</w:t>
            </w:r>
            <w:r w:rsidR="00B01707">
              <w:rPr>
                <w:rFonts w:ascii="Aptos Narrow" w:hAnsi="Aptos Narrow"/>
                <w:color w:val="000000"/>
                <w:sz w:val="22"/>
                <w:szCs w:val="22"/>
              </w:rPr>
              <w:t>ional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maintenance costs and rents not </w:t>
            </w:r>
            <w:r w:rsidR="00A33A70">
              <w:rPr>
                <w:rFonts w:ascii="Aptos Narrow" w:hAnsi="Aptos Narrow"/>
                <w:color w:val="000000"/>
                <w:sz w:val="22"/>
                <w:szCs w:val="22"/>
              </w:rPr>
              <w:t xml:space="preserve">achieved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in part to office No</w:t>
            </w:r>
            <w:r w:rsidR="00A33A70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A33A70">
              <w:rPr>
                <w:rFonts w:ascii="Aptos Narrow" w:hAnsi="Aptos Narrow"/>
                <w:color w:val="000000"/>
                <w:sz w:val="22"/>
                <w:szCs w:val="22"/>
              </w:rPr>
              <w:t xml:space="preserve">being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vacant (now occupied</w:t>
            </w:r>
            <w:r w:rsidR="00A33A70">
              <w:rPr>
                <w:rFonts w:ascii="Aptos Narrow" w:hAnsi="Aptos Narrow"/>
                <w:color w:val="000000"/>
                <w:sz w:val="22"/>
                <w:szCs w:val="22"/>
              </w:rPr>
              <w:t xml:space="preserve"> since Oct</w:t>
            </w:r>
            <w:r w:rsidR="00AF1F58">
              <w:rPr>
                <w:rFonts w:ascii="Aptos Narrow" w:hAnsi="Aptos Narrow"/>
                <w:color w:val="000000"/>
                <w:sz w:val="22"/>
                <w:szCs w:val="22"/>
              </w:rPr>
              <w:t>ober</w:t>
            </w:r>
            <w:r w:rsidR="00D44283">
              <w:rPr>
                <w:rFonts w:ascii="Aptos Narrow" w:hAnsi="Aptos Narrow"/>
                <w:color w:val="000000"/>
                <w:sz w:val="22"/>
                <w:szCs w:val="22"/>
              </w:rPr>
              <w:t xml:space="preserve"> 20</w:t>
            </w:r>
            <w:r w:rsidR="00A33A70"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</w:tr>
      <w:tr w:rsidR="00BE4C87" w14:paraId="433C423C" w14:textId="77777777" w:rsidTr="00B01707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6621C0" w14:textId="77777777" w:rsidR="00BE4C87" w:rsidRDefault="00BE4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STOURPORT RIVERSIDE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29B697" w14:textId="77777777" w:rsidR="00BE4C87" w:rsidRPr="00863699" w:rsidRDefault="00BE4C87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-938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4E91CD" w14:textId="77777777" w:rsidR="00BE4C87" w:rsidRDefault="00BE4C8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Ongoing paddling pool and toilets expenses</w:t>
            </w:r>
          </w:p>
        </w:tc>
      </w:tr>
      <w:tr w:rsidR="006B2766" w14:paraId="567DFE66" w14:textId="77777777" w:rsidTr="00FB0EC4">
        <w:trPr>
          <w:trHeight w:val="5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5CCB0" w14:textId="77777777" w:rsidR="006B2766" w:rsidRDefault="006B2766" w:rsidP="006B2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STOURPORT COMMUNITY CENTRE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A746C" w14:textId="77777777" w:rsidR="006B2766" w:rsidRPr="00863699" w:rsidRDefault="006B2766" w:rsidP="006B2766">
            <w:pPr>
              <w:jc w:val="right"/>
              <w:rPr>
                <w:rFonts w:ascii="Aptos" w:hAnsi="Aptos"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color w:val="000000"/>
                <w:sz w:val="22"/>
                <w:szCs w:val="22"/>
              </w:rPr>
              <w:t>1,840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13013" w14:textId="528350DF" w:rsidR="006B2766" w:rsidRDefault="006B2766" w:rsidP="006B2766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Underspend against running costs for the year</w:t>
            </w:r>
          </w:p>
        </w:tc>
      </w:tr>
      <w:tr w:rsidR="006B2766" w14:paraId="755117D9" w14:textId="77777777" w:rsidTr="00B0170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836B" w14:textId="031C6F72" w:rsidR="006B2766" w:rsidRDefault="006B2766" w:rsidP="006B27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NET EXPENDITURE (- o/spend)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7D16" w14:textId="77777777" w:rsidR="006B2766" w:rsidRPr="00863699" w:rsidRDefault="006B2766" w:rsidP="006B2766">
            <w:pPr>
              <w:jc w:val="right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863699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-225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66F8" w14:textId="77777777" w:rsidR="006B2766" w:rsidRDefault="006B2766" w:rsidP="006B276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B2766" w14:paraId="1D03FBDD" w14:textId="77777777" w:rsidTr="00B01707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E548" w14:textId="77777777" w:rsidR="006B2766" w:rsidRDefault="006B2766" w:rsidP="006B2766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C1F6" w14:textId="77777777" w:rsidR="006B2766" w:rsidRDefault="006B2766" w:rsidP="006B2766">
            <w:pPr>
              <w:rPr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ED27" w14:textId="77777777" w:rsidR="006B2766" w:rsidRDefault="006B2766" w:rsidP="006B2766">
            <w:pPr>
              <w:rPr>
                <w:sz w:val="20"/>
                <w:szCs w:val="20"/>
              </w:rPr>
            </w:pPr>
          </w:p>
        </w:tc>
      </w:tr>
    </w:tbl>
    <w:p w14:paraId="5E7515C7" w14:textId="13550519" w:rsidR="004C45BC" w:rsidRDefault="00B01707" w:rsidP="00C0048B">
      <w:pPr>
        <w:ind w:left="426" w:hanging="284"/>
        <w:jc w:val="both"/>
        <w:rPr>
          <w:color w:val="EE0000"/>
          <w:lang w:val="en-GB"/>
        </w:rPr>
      </w:pPr>
      <w:r w:rsidRPr="00B01707">
        <w:rPr>
          <w:b/>
          <w:i/>
          <w:u w:val="single"/>
          <w:lang w:val="en-GB"/>
        </w:rPr>
        <w:t>NET ‘</w:t>
      </w:r>
      <w:r w:rsidR="00863699">
        <w:rPr>
          <w:b/>
          <w:i/>
          <w:u w:val="single"/>
          <w:lang w:val="en-GB"/>
        </w:rPr>
        <w:t>OVERSPEND</w:t>
      </w:r>
      <w:r w:rsidR="00F25A7E">
        <w:rPr>
          <w:b/>
          <w:i/>
          <w:u w:val="single"/>
          <w:lang w:val="en-GB"/>
        </w:rPr>
        <w:t>”</w:t>
      </w:r>
      <w:r w:rsidR="00863699">
        <w:rPr>
          <w:b/>
          <w:i/>
          <w:u w:val="single"/>
          <w:lang w:val="en-GB"/>
        </w:rPr>
        <w:t xml:space="preserve"> </w:t>
      </w:r>
      <w:r>
        <w:rPr>
          <w:b/>
          <w:i/>
          <w:u w:val="single"/>
          <w:lang w:val="en-GB"/>
        </w:rPr>
        <w:t xml:space="preserve">2025/26 </w:t>
      </w:r>
      <w:r w:rsidRPr="00B01707">
        <w:rPr>
          <w:b/>
          <w:i/>
          <w:u w:val="single"/>
          <w:lang w:val="en-GB"/>
        </w:rPr>
        <w:t>YEAR</w:t>
      </w:r>
      <w:r w:rsidRPr="00B01707">
        <w:rPr>
          <w:b/>
          <w:i/>
          <w:lang w:val="en-GB"/>
        </w:rPr>
        <w:t xml:space="preserve">   </w:t>
      </w:r>
      <w:proofErr w:type="gramStart"/>
      <w:r w:rsidR="00F25A7E">
        <w:rPr>
          <w:b/>
          <w:i/>
          <w:lang w:val="en-GB"/>
        </w:rPr>
        <w:t>=</w:t>
      </w:r>
      <w:r w:rsidRPr="00B01707">
        <w:rPr>
          <w:b/>
          <w:i/>
          <w:lang w:val="en-GB"/>
        </w:rPr>
        <w:t xml:space="preserve">  </w:t>
      </w:r>
      <w:r w:rsidRPr="00B01707">
        <w:rPr>
          <w:b/>
          <w:i/>
          <w:u w:val="single"/>
          <w:lang w:val="en-GB"/>
        </w:rPr>
        <w:t>£</w:t>
      </w:r>
      <w:proofErr w:type="gramEnd"/>
      <w:r w:rsidRPr="00B01707">
        <w:rPr>
          <w:b/>
          <w:i/>
          <w:u w:val="single"/>
          <w:lang w:val="en-GB"/>
        </w:rPr>
        <w:t>2</w:t>
      </w:r>
      <w:r w:rsidR="00863699">
        <w:rPr>
          <w:b/>
          <w:i/>
          <w:u w:val="single"/>
          <w:lang w:val="en-GB"/>
        </w:rPr>
        <w:t>25</w:t>
      </w:r>
    </w:p>
    <w:p w14:paraId="1A8549F5" w14:textId="77777777" w:rsidR="00A948E0" w:rsidRPr="00526FD7" w:rsidRDefault="00A948E0" w:rsidP="00C0048B">
      <w:pPr>
        <w:ind w:left="426" w:hanging="284"/>
        <w:jc w:val="both"/>
        <w:rPr>
          <w:color w:val="EE0000"/>
          <w:lang w:val="en-GB"/>
        </w:rPr>
      </w:pPr>
    </w:p>
    <w:p w14:paraId="0145CEEA" w14:textId="74EC16CB" w:rsidR="003C4DB3" w:rsidRPr="00EF52E8" w:rsidRDefault="004C45BC" w:rsidP="00A948E0">
      <w:pPr>
        <w:ind w:left="142" w:hanging="142"/>
        <w:rPr>
          <w:i/>
          <w:lang w:val="en-GB"/>
        </w:rPr>
      </w:pPr>
      <w:r w:rsidRPr="00526FD7">
        <w:rPr>
          <w:color w:val="EE0000"/>
          <w:lang w:val="en-GB"/>
        </w:rPr>
        <w:tab/>
      </w:r>
      <w:r w:rsidR="00C0048B" w:rsidRPr="00EF52E8">
        <w:rPr>
          <w:lang w:val="en-GB"/>
        </w:rPr>
        <w:t>Taking a view of the variances above</w:t>
      </w:r>
      <w:r w:rsidR="00F85734">
        <w:rPr>
          <w:lang w:val="en-GB"/>
        </w:rPr>
        <w:t xml:space="preserve"> in Table </w:t>
      </w:r>
      <w:r w:rsidR="00F25A7E">
        <w:rPr>
          <w:lang w:val="en-GB"/>
        </w:rPr>
        <w:t>No</w:t>
      </w:r>
      <w:r w:rsidR="00F85734">
        <w:rPr>
          <w:lang w:val="en-GB"/>
        </w:rPr>
        <w:t>2</w:t>
      </w:r>
      <w:r w:rsidR="00C0048B" w:rsidRPr="00EF52E8">
        <w:rPr>
          <w:lang w:val="en-GB"/>
        </w:rPr>
        <w:t xml:space="preserve">, it is clear to see an underlying trend that the majority of underspend is in relation to the salaries budget, which is in part due to a 4% pay award being built into the budget but only an actual pay award of </w:t>
      </w:r>
      <w:r w:rsidR="004362CC">
        <w:rPr>
          <w:lang w:val="en-GB"/>
        </w:rPr>
        <w:t>3.2%</w:t>
      </w:r>
      <w:r w:rsidR="00C0048B" w:rsidRPr="00EF52E8">
        <w:rPr>
          <w:color w:val="EE0000"/>
          <w:lang w:val="en-GB"/>
        </w:rPr>
        <w:t xml:space="preserve"> </w:t>
      </w:r>
      <w:r w:rsidR="00C0048B" w:rsidRPr="00EF52E8">
        <w:rPr>
          <w:lang w:val="en-GB"/>
        </w:rPr>
        <w:t>being agreed, and also having a vacancy within the</w:t>
      </w:r>
      <w:r w:rsidR="0032519A">
        <w:rPr>
          <w:lang w:val="en-GB"/>
        </w:rPr>
        <w:t xml:space="preserve"> T</w:t>
      </w:r>
      <w:r w:rsidR="00C0048B" w:rsidRPr="00EF52E8">
        <w:rPr>
          <w:lang w:val="en-GB"/>
        </w:rPr>
        <w:t>own Council Staff of an admin assistant f</w:t>
      </w:r>
      <w:r w:rsidR="00EF52E8" w:rsidRPr="00EF52E8">
        <w:rPr>
          <w:lang w:val="en-GB"/>
        </w:rPr>
        <w:t>o</w:t>
      </w:r>
      <w:r w:rsidR="00C0048B" w:rsidRPr="00EF52E8">
        <w:rPr>
          <w:lang w:val="en-GB"/>
        </w:rPr>
        <w:t xml:space="preserve">r </w:t>
      </w:r>
      <w:r w:rsidR="00EF52E8" w:rsidRPr="00EF52E8">
        <w:rPr>
          <w:lang w:val="en-GB"/>
        </w:rPr>
        <w:t>4</w:t>
      </w:r>
      <w:r w:rsidR="00C0048B" w:rsidRPr="00EF52E8">
        <w:rPr>
          <w:lang w:val="en-GB"/>
        </w:rPr>
        <w:t xml:space="preserve"> month</w:t>
      </w:r>
      <w:r w:rsidR="00EF52E8" w:rsidRPr="00EF52E8">
        <w:rPr>
          <w:lang w:val="en-GB"/>
        </w:rPr>
        <w:t xml:space="preserve">s </w:t>
      </w:r>
      <w:r w:rsidR="00C0048B" w:rsidRPr="00EF52E8">
        <w:rPr>
          <w:lang w:val="en-GB"/>
        </w:rPr>
        <w:t>of the year</w:t>
      </w:r>
      <w:r w:rsidR="00EF52E8">
        <w:rPr>
          <w:lang w:val="en-GB"/>
        </w:rPr>
        <w:t xml:space="preserve">, </w:t>
      </w:r>
      <w:r w:rsidR="00C0048B" w:rsidRPr="00EF52E8">
        <w:rPr>
          <w:lang w:val="en-GB"/>
        </w:rPr>
        <w:t>giv</w:t>
      </w:r>
      <w:r w:rsidR="00EF52E8" w:rsidRPr="00EF52E8">
        <w:rPr>
          <w:lang w:val="en-GB"/>
        </w:rPr>
        <w:t>ing</w:t>
      </w:r>
      <w:r w:rsidR="00C0048B" w:rsidRPr="00EF52E8">
        <w:rPr>
          <w:lang w:val="en-GB"/>
        </w:rPr>
        <w:t xml:space="preserve"> rise to these savings</w:t>
      </w:r>
      <w:r w:rsidR="0032519A">
        <w:rPr>
          <w:lang w:val="en-GB"/>
        </w:rPr>
        <w:t>.</w:t>
      </w:r>
      <w:r w:rsidR="005F661E" w:rsidRPr="00EF52E8">
        <w:rPr>
          <w:lang w:val="en-GB"/>
        </w:rPr>
        <w:t xml:space="preserve"> </w:t>
      </w:r>
    </w:p>
    <w:p w14:paraId="382FDCCC" w14:textId="77777777" w:rsidR="002056C4" w:rsidRPr="002056C4" w:rsidRDefault="002056C4" w:rsidP="00A948E0">
      <w:pPr>
        <w:ind w:left="426"/>
        <w:rPr>
          <w:bCs/>
          <w:lang w:val="en-GB"/>
        </w:rPr>
      </w:pPr>
    </w:p>
    <w:p w14:paraId="6E1FAA84" w14:textId="6CB296B9" w:rsidR="00852530" w:rsidRDefault="00852530" w:rsidP="00A948E0">
      <w:pPr>
        <w:pStyle w:val="ListParagraph"/>
        <w:numPr>
          <w:ilvl w:val="0"/>
          <w:numId w:val="20"/>
        </w:numPr>
        <w:tabs>
          <w:tab w:val="clear" w:pos="786"/>
        </w:tabs>
        <w:ind w:left="142" w:hanging="284"/>
        <w:rPr>
          <w:b/>
          <w:u w:val="single"/>
          <w:lang w:val="en-GB"/>
        </w:rPr>
      </w:pPr>
      <w:r w:rsidRPr="00852530">
        <w:rPr>
          <w:b/>
          <w:u w:val="single"/>
          <w:lang w:val="en-GB"/>
        </w:rPr>
        <w:t xml:space="preserve">COMPARISON </w:t>
      </w:r>
      <w:r w:rsidR="005A1CE3">
        <w:rPr>
          <w:b/>
          <w:u w:val="single"/>
          <w:lang w:val="en-GB"/>
        </w:rPr>
        <w:t xml:space="preserve">OF ‘ACTUAL’ </w:t>
      </w:r>
      <w:r w:rsidRPr="00852530">
        <w:rPr>
          <w:b/>
          <w:u w:val="single"/>
          <w:lang w:val="en-GB"/>
        </w:rPr>
        <w:t>WITH REVISED ESTIMATE</w:t>
      </w:r>
    </w:p>
    <w:p w14:paraId="1D843295" w14:textId="77777777" w:rsidR="00A948E0" w:rsidRDefault="00A948E0" w:rsidP="00A948E0">
      <w:pPr>
        <w:pStyle w:val="ListParagraph"/>
        <w:ind w:left="142"/>
        <w:rPr>
          <w:b/>
          <w:u w:val="single"/>
          <w:lang w:val="en-GB"/>
        </w:rPr>
      </w:pPr>
    </w:p>
    <w:p w14:paraId="1535D780" w14:textId="029770C5" w:rsidR="00430170" w:rsidRDefault="000725AE" w:rsidP="00A948E0">
      <w:pPr>
        <w:ind w:left="142"/>
        <w:rPr>
          <w:lang w:val="en-GB"/>
        </w:rPr>
      </w:pPr>
      <w:r w:rsidRPr="00206CAF">
        <w:rPr>
          <w:lang w:val="en-GB"/>
        </w:rPr>
        <w:t>T</w:t>
      </w:r>
      <w:r w:rsidR="00EF40EF" w:rsidRPr="00206CAF">
        <w:rPr>
          <w:lang w:val="en-GB"/>
        </w:rPr>
        <w:t xml:space="preserve">he </w:t>
      </w:r>
      <w:r w:rsidR="005B50F1" w:rsidRPr="00206CAF">
        <w:rPr>
          <w:lang w:val="en-GB"/>
        </w:rPr>
        <w:t xml:space="preserve">net </w:t>
      </w:r>
      <w:r w:rsidR="00033A8E" w:rsidRPr="00206CAF">
        <w:rPr>
          <w:lang w:val="en-GB"/>
        </w:rPr>
        <w:t xml:space="preserve">actual </w:t>
      </w:r>
      <w:proofErr w:type="gramStart"/>
      <w:r w:rsidR="00BC4BAC" w:rsidRPr="00206CAF">
        <w:rPr>
          <w:lang w:val="en-GB"/>
        </w:rPr>
        <w:t>over</w:t>
      </w:r>
      <w:r w:rsidR="005B50F1" w:rsidRPr="00206CAF">
        <w:rPr>
          <w:lang w:val="en-GB"/>
        </w:rPr>
        <w:t>spend</w:t>
      </w:r>
      <w:proofErr w:type="gramEnd"/>
      <w:r w:rsidR="005B50F1" w:rsidRPr="00206CAF">
        <w:rPr>
          <w:lang w:val="en-GB"/>
        </w:rPr>
        <w:t xml:space="preserve"> of £</w:t>
      </w:r>
      <w:r w:rsidR="00206CAF" w:rsidRPr="00206CAF">
        <w:rPr>
          <w:lang w:val="en-GB"/>
        </w:rPr>
        <w:t>225</w:t>
      </w:r>
      <w:r w:rsidR="005B50F1" w:rsidRPr="00206CAF">
        <w:rPr>
          <w:lang w:val="en-GB"/>
        </w:rPr>
        <w:t xml:space="preserve"> compares with a projected </w:t>
      </w:r>
      <w:r w:rsidR="00D565A2" w:rsidRPr="00206CAF">
        <w:rPr>
          <w:lang w:val="en-GB"/>
        </w:rPr>
        <w:t>over</w:t>
      </w:r>
      <w:r w:rsidR="005B50F1" w:rsidRPr="00206CAF">
        <w:rPr>
          <w:lang w:val="en-GB"/>
        </w:rPr>
        <w:t xml:space="preserve">spend of </w:t>
      </w:r>
      <w:r w:rsidR="00206CAF" w:rsidRPr="00206CAF">
        <w:rPr>
          <w:lang w:val="en-GB"/>
        </w:rPr>
        <w:t>£241</w:t>
      </w:r>
      <w:r w:rsidR="005B50F1" w:rsidRPr="00206CAF">
        <w:rPr>
          <w:lang w:val="en-GB"/>
        </w:rPr>
        <w:t xml:space="preserve"> in the </w:t>
      </w:r>
      <w:r w:rsidR="00EF40EF" w:rsidRPr="00206CAF">
        <w:rPr>
          <w:lang w:val="en-GB"/>
        </w:rPr>
        <w:t xml:space="preserve">revised estimate </w:t>
      </w:r>
      <w:r w:rsidR="005B50F1" w:rsidRPr="00206CAF">
        <w:rPr>
          <w:lang w:val="en-GB"/>
        </w:rPr>
        <w:t>included in the budget report in February</w:t>
      </w:r>
      <w:r w:rsidR="00BC4BAC" w:rsidRPr="00206CAF">
        <w:rPr>
          <w:lang w:val="en-GB"/>
        </w:rPr>
        <w:t>.</w:t>
      </w:r>
      <w:r w:rsidR="00A948E0">
        <w:rPr>
          <w:lang w:val="en-GB"/>
        </w:rPr>
        <w:t xml:space="preserve"> </w:t>
      </w:r>
      <w:r w:rsidR="00BC4BAC" w:rsidRPr="00206CAF">
        <w:rPr>
          <w:lang w:val="en-GB"/>
        </w:rPr>
        <w:t xml:space="preserve"> </w:t>
      </w:r>
      <w:r w:rsidR="00D565A2" w:rsidRPr="00206CAF">
        <w:rPr>
          <w:lang w:val="en-GB"/>
        </w:rPr>
        <w:t xml:space="preserve">The variations that were forecast at revised estimate stage have been </w:t>
      </w:r>
      <w:r w:rsidR="0032519A">
        <w:rPr>
          <w:lang w:val="en-GB"/>
        </w:rPr>
        <w:t xml:space="preserve">mainly </w:t>
      </w:r>
      <w:r w:rsidR="00D565A2" w:rsidRPr="00206CAF">
        <w:rPr>
          <w:lang w:val="en-GB"/>
        </w:rPr>
        <w:t xml:space="preserve">realised indicating that spending v budget is under control. </w:t>
      </w:r>
      <w:r w:rsidR="00A948E0">
        <w:rPr>
          <w:lang w:val="en-GB"/>
        </w:rPr>
        <w:t xml:space="preserve"> </w:t>
      </w:r>
      <w:r w:rsidR="00901F3F" w:rsidRPr="00206CAF">
        <w:rPr>
          <w:lang w:val="en-GB"/>
        </w:rPr>
        <w:t xml:space="preserve">This relatively minor difference between revised estimate and actual is </w:t>
      </w:r>
      <w:r w:rsidR="00033A8E" w:rsidRPr="00206CAF">
        <w:rPr>
          <w:lang w:val="en-GB"/>
        </w:rPr>
        <w:t xml:space="preserve">attributable to </w:t>
      </w:r>
      <w:r w:rsidR="003107A6" w:rsidRPr="00206CAF">
        <w:rPr>
          <w:lang w:val="en-GB"/>
        </w:rPr>
        <w:t>a range of variations since the revised estimate was completed in January</w:t>
      </w:r>
      <w:r w:rsidR="00206CAF">
        <w:rPr>
          <w:lang w:val="en-GB"/>
        </w:rPr>
        <w:t xml:space="preserve">, </w:t>
      </w:r>
      <w:proofErr w:type="gramStart"/>
      <w:r w:rsidR="00206CAF">
        <w:rPr>
          <w:lang w:val="en-GB"/>
        </w:rPr>
        <w:t>taking into account</w:t>
      </w:r>
      <w:proofErr w:type="gramEnd"/>
      <w:r w:rsidR="00206CAF">
        <w:rPr>
          <w:lang w:val="en-GB"/>
        </w:rPr>
        <w:t xml:space="preserve"> spend up to Dec</w:t>
      </w:r>
      <w:r w:rsidR="00D873F6">
        <w:rPr>
          <w:lang w:val="en-GB"/>
        </w:rPr>
        <w:t>ember 20</w:t>
      </w:r>
      <w:r w:rsidR="00206CAF">
        <w:rPr>
          <w:lang w:val="en-GB"/>
        </w:rPr>
        <w:t>25</w:t>
      </w:r>
      <w:r w:rsidR="00D873F6">
        <w:rPr>
          <w:lang w:val="en-GB"/>
        </w:rPr>
        <w:t xml:space="preserve"> </w:t>
      </w:r>
      <w:proofErr w:type="gramStart"/>
      <w:r w:rsidR="00206CAF">
        <w:rPr>
          <w:lang w:val="en-GB"/>
        </w:rPr>
        <w:t>i:e</w:t>
      </w:r>
      <w:proofErr w:type="gramEnd"/>
      <w:r w:rsidR="00206CAF">
        <w:rPr>
          <w:lang w:val="en-GB"/>
        </w:rPr>
        <w:t xml:space="preserve"> 9months of actual s</w:t>
      </w:r>
      <w:r w:rsidR="0032519A">
        <w:rPr>
          <w:lang w:val="en-GB"/>
        </w:rPr>
        <w:t>p</w:t>
      </w:r>
      <w:r w:rsidR="00206CAF">
        <w:rPr>
          <w:lang w:val="en-GB"/>
        </w:rPr>
        <w:t>end at that date</w:t>
      </w:r>
      <w:r w:rsidR="00EF52E8">
        <w:rPr>
          <w:lang w:val="en-GB"/>
        </w:rPr>
        <w:t>, as explained in the variances table</w:t>
      </w:r>
      <w:r w:rsidR="0032519A">
        <w:rPr>
          <w:lang w:val="en-GB"/>
        </w:rPr>
        <w:t xml:space="preserve"> No2</w:t>
      </w:r>
      <w:r w:rsidR="00EF52E8">
        <w:rPr>
          <w:lang w:val="en-GB"/>
        </w:rPr>
        <w:t>.</w:t>
      </w:r>
      <w:r w:rsidR="00D565A2" w:rsidRPr="00206CAF">
        <w:rPr>
          <w:lang w:val="en-GB"/>
        </w:rPr>
        <w:t xml:space="preserve"> </w:t>
      </w:r>
    </w:p>
    <w:p w14:paraId="19EE59A5" w14:textId="77777777" w:rsidR="00A948E0" w:rsidRDefault="00A948E0" w:rsidP="00A948E0">
      <w:pPr>
        <w:ind w:left="142"/>
        <w:rPr>
          <w:lang w:val="en-GB"/>
        </w:rPr>
      </w:pPr>
    </w:p>
    <w:p w14:paraId="42D2FC7D" w14:textId="77777777" w:rsidR="00A948E0" w:rsidRDefault="00A948E0" w:rsidP="00A948E0">
      <w:pPr>
        <w:ind w:left="142"/>
        <w:rPr>
          <w:lang w:val="en-GB"/>
        </w:rPr>
      </w:pPr>
    </w:p>
    <w:p w14:paraId="656CE567" w14:textId="77777777" w:rsidR="00A948E0" w:rsidRDefault="00A948E0" w:rsidP="00A948E0">
      <w:pPr>
        <w:ind w:left="142"/>
        <w:rPr>
          <w:lang w:val="en-GB"/>
        </w:rPr>
      </w:pPr>
    </w:p>
    <w:p w14:paraId="0CFA22AA" w14:textId="77777777" w:rsidR="00A948E0" w:rsidRDefault="00A948E0" w:rsidP="00A948E0">
      <w:pPr>
        <w:ind w:left="142"/>
        <w:rPr>
          <w:lang w:val="en-GB"/>
        </w:rPr>
      </w:pPr>
    </w:p>
    <w:p w14:paraId="5DC95BD7" w14:textId="24C563FE" w:rsidR="00A33A70" w:rsidRPr="00F85734" w:rsidRDefault="00A33A70" w:rsidP="00A948E0">
      <w:pPr>
        <w:ind w:left="142"/>
        <w:rPr>
          <w:lang w:val="en-GB"/>
        </w:rPr>
      </w:pPr>
      <w:r w:rsidRPr="000F426F">
        <w:rPr>
          <w:lang w:val="en-GB"/>
        </w:rPr>
        <w:t xml:space="preserve">It should also be reported that there is a contribution from the vehicle renewal </w:t>
      </w:r>
      <w:r w:rsidR="000F426F" w:rsidRPr="000F426F">
        <w:rPr>
          <w:lang w:val="en-GB"/>
        </w:rPr>
        <w:t>fund</w:t>
      </w:r>
      <w:r w:rsidRPr="000F426F">
        <w:rPr>
          <w:lang w:val="en-GB"/>
        </w:rPr>
        <w:t xml:space="preserve"> of £17</w:t>
      </w:r>
      <w:r w:rsidR="000F426F" w:rsidRPr="000F426F">
        <w:rPr>
          <w:lang w:val="en-GB"/>
        </w:rPr>
        <w:t>,</w:t>
      </w:r>
      <w:r w:rsidRPr="000F426F">
        <w:rPr>
          <w:lang w:val="en-GB"/>
        </w:rPr>
        <w:t>450 f</w:t>
      </w:r>
      <w:r w:rsidR="000F426F" w:rsidRPr="000F426F">
        <w:rPr>
          <w:lang w:val="en-GB"/>
        </w:rPr>
        <w:t xml:space="preserve">rom </w:t>
      </w:r>
      <w:r w:rsidRPr="000F426F">
        <w:rPr>
          <w:lang w:val="en-GB"/>
        </w:rPr>
        <w:t xml:space="preserve">reserves this year </w:t>
      </w:r>
      <w:r w:rsidR="000F426F" w:rsidRPr="000F426F">
        <w:rPr>
          <w:lang w:val="en-GB"/>
        </w:rPr>
        <w:t>to fund a new ride on mower /</w:t>
      </w:r>
      <w:r w:rsidR="000F426F" w:rsidRPr="00F85734">
        <w:rPr>
          <w:lang w:val="en-GB"/>
        </w:rPr>
        <w:t xml:space="preserve">tractor, </w:t>
      </w:r>
      <w:r w:rsidR="00F85734" w:rsidRPr="00F85734">
        <w:rPr>
          <w:lang w:val="en-GB"/>
        </w:rPr>
        <w:t xml:space="preserve">approved at the Parks Committee on the </w:t>
      </w:r>
      <w:proofErr w:type="gramStart"/>
      <w:r w:rsidR="00F85734" w:rsidRPr="00F85734">
        <w:rPr>
          <w:lang w:val="en-GB"/>
        </w:rPr>
        <w:t>20</w:t>
      </w:r>
      <w:r w:rsidR="00F85734" w:rsidRPr="00F85734">
        <w:rPr>
          <w:vertAlign w:val="superscript"/>
          <w:lang w:val="en-GB"/>
        </w:rPr>
        <w:t>th</w:t>
      </w:r>
      <w:proofErr w:type="gramEnd"/>
      <w:r w:rsidR="00F85734" w:rsidRPr="00F85734">
        <w:rPr>
          <w:lang w:val="en-GB"/>
        </w:rPr>
        <w:t xml:space="preserve"> January</w:t>
      </w:r>
      <w:r w:rsidR="00D44283">
        <w:rPr>
          <w:lang w:val="en-GB"/>
        </w:rPr>
        <w:t xml:space="preserve"> 20</w:t>
      </w:r>
      <w:r w:rsidR="00294305">
        <w:rPr>
          <w:lang w:val="en-GB"/>
        </w:rPr>
        <w:t xml:space="preserve">25 and Finance Committee on the </w:t>
      </w:r>
      <w:proofErr w:type="gramStart"/>
      <w:r w:rsidR="00294305">
        <w:rPr>
          <w:lang w:val="en-GB"/>
        </w:rPr>
        <w:t>27</w:t>
      </w:r>
      <w:r w:rsidR="00294305" w:rsidRPr="00294305">
        <w:rPr>
          <w:vertAlign w:val="superscript"/>
          <w:lang w:val="en-GB"/>
        </w:rPr>
        <w:t>th</w:t>
      </w:r>
      <w:proofErr w:type="gramEnd"/>
      <w:r w:rsidR="00294305">
        <w:rPr>
          <w:lang w:val="en-GB"/>
        </w:rPr>
        <w:t xml:space="preserve"> January</w:t>
      </w:r>
      <w:r w:rsidR="00D44283">
        <w:rPr>
          <w:lang w:val="en-GB"/>
        </w:rPr>
        <w:t xml:space="preserve"> 20</w:t>
      </w:r>
      <w:r w:rsidR="00294305">
        <w:rPr>
          <w:lang w:val="en-GB"/>
        </w:rPr>
        <w:t>25</w:t>
      </w:r>
      <w:r w:rsidRPr="00F85734">
        <w:rPr>
          <w:lang w:val="en-GB"/>
        </w:rPr>
        <w:t xml:space="preserve">  </w:t>
      </w:r>
    </w:p>
    <w:p w14:paraId="43DC7CCD" w14:textId="77777777" w:rsidR="00A33A70" w:rsidRPr="00206CAF" w:rsidRDefault="00A33A70" w:rsidP="00A948E0">
      <w:pPr>
        <w:ind w:left="720"/>
        <w:rPr>
          <w:lang w:val="en-GB"/>
        </w:rPr>
      </w:pPr>
    </w:p>
    <w:p w14:paraId="4D990E0F" w14:textId="77777777" w:rsidR="00D36F10" w:rsidRDefault="00D36F10" w:rsidP="00A948E0">
      <w:pPr>
        <w:pStyle w:val="ListParagraph"/>
        <w:numPr>
          <w:ilvl w:val="0"/>
          <w:numId w:val="20"/>
        </w:numPr>
        <w:tabs>
          <w:tab w:val="clear" w:pos="786"/>
          <w:tab w:val="num" w:pos="709"/>
        </w:tabs>
        <w:ind w:left="142" w:hanging="284"/>
        <w:rPr>
          <w:b/>
          <w:u w:val="single"/>
          <w:lang w:val="en-GB"/>
        </w:rPr>
      </w:pPr>
      <w:r w:rsidRPr="00206CAF">
        <w:rPr>
          <w:b/>
          <w:u w:val="single"/>
          <w:lang w:val="en-GB"/>
        </w:rPr>
        <w:t>FINANCIAL POSITION AT YEAR-END</w:t>
      </w:r>
    </w:p>
    <w:p w14:paraId="77A1E45D" w14:textId="77777777" w:rsidR="00A948E0" w:rsidRPr="00206CAF" w:rsidRDefault="00A948E0" w:rsidP="00A948E0">
      <w:pPr>
        <w:pStyle w:val="ListParagraph"/>
        <w:tabs>
          <w:tab w:val="num" w:pos="709"/>
        </w:tabs>
        <w:ind w:left="142"/>
        <w:rPr>
          <w:b/>
          <w:u w:val="single"/>
          <w:lang w:val="en-GB"/>
        </w:rPr>
      </w:pPr>
    </w:p>
    <w:p w14:paraId="08679551" w14:textId="05CFB9B8" w:rsidR="00C453E4" w:rsidRDefault="00972184" w:rsidP="00A948E0">
      <w:pPr>
        <w:ind w:left="142"/>
        <w:rPr>
          <w:lang w:val="en-GB"/>
        </w:rPr>
      </w:pPr>
      <w:r w:rsidRPr="00F85734">
        <w:rPr>
          <w:lang w:val="en-GB"/>
        </w:rPr>
        <w:t xml:space="preserve">The Council’s working balance </w:t>
      </w:r>
      <w:proofErr w:type="gramStart"/>
      <w:r w:rsidR="00F85734" w:rsidRPr="00F85734">
        <w:rPr>
          <w:lang w:val="en-GB"/>
        </w:rPr>
        <w:t>on</w:t>
      </w:r>
      <w:proofErr w:type="gramEnd"/>
      <w:r w:rsidRPr="00F85734">
        <w:rPr>
          <w:lang w:val="en-GB"/>
        </w:rPr>
        <w:t xml:space="preserve"> March</w:t>
      </w:r>
      <w:r w:rsidR="00D44283">
        <w:rPr>
          <w:lang w:val="en-GB"/>
        </w:rPr>
        <w:t xml:space="preserve"> 20</w:t>
      </w:r>
      <w:r w:rsidRPr="00F85734">
        <w:rPr>
          <w:lang w:val="en-GB"/>
        </w:rPr>
        <w:t>25</w:t>
      </w:r>
      <w:r w:rsidR="00C453E4" w:rsidRPr="00F85734">
        <w:rPr>
          <w:lang w:val="en-GB"/>
        </w:rPr>
        <w:t xml:space="preserve"> </w:t>
      </w:r>
      <w:r w:rsidRPr="00F85734">
        <w:rPr>
          <w:lang w:val="en-GB"/>
        </w:rPr>
        <w:t>was £57,</w:t>
      </w:r>
      <w:r w:rsidR="00A33A70" w:rsidRPr="00F85734">
        <w:rPr>
          <w:lang w:val="en-GB"/>
        </w:rPr>
        <w:t>289</w:t>
      </w:r>
      <w:r w:rsidRPr="00F85734">
        <w:rPr>
          <w:lang w:val="en-GB"/>
        </w:rPr>
        <w:t xml:space="preserve"> due to unavoidable expenditure in relation to the paddling pool during </w:t>
      </w:r>
      <w:r w:rsidR="00A33A70" w:rsidRPr="00F85734">
        <w:rPr>
          <w:lang w:val="en-GB"/>
        </w:rPr>
        <w:t>last</w:t>
      </w:r>
      <w:r w:rsidRPr="00F85734">
        <w:rPr>
          <w:lang w:val="en-GB"/>
        </w:rPr>
        <w:t xml:space="preserve"> year and </w:t>
      </w:r>
      <w:r w:rsidR="00D873F6">
        <w:rPr>
          <w:lang w:val="en-GB"/>
        </w:rPr>
        <w:t xml:space="preserve">this </w:t>
      </w:r>
      <w:r w:rsidRPr="00F85734">
        <w:rPr>
          <w:lang w:val="en-GB"/>
        </w:rPr>
        <w:t xml:space="preserve">was </w:t>
      </w:r>
      <w:proofErr w:type="gramStart"/>
      <w:r w:rsidRPr="00F85734">
        <w:rPr>
          <w:lang w:val="en-GB"/>
        </w:rPr>
        <w:t>actually reported</w:t>
      </w:r>
      <w:proofErr w:type="gramEnd"/>
      <w:r w:rsidRPr="00F85734">
        <w:rPr>
          <w:lang w:val="en-GB"/>
        </w:rPr>
        <w:t xml:space="preserve"> </w:t>
      </w:r>
      <w:r w:rsidR="00C453E4" w:rsidRPr="00F85734">
        <w:rPr>
          <w:lang w:val="en-GB"/>
        </w:rPr>
        <w:t xml:space="preserve">as so </w:t>
      </w:r>
      <w:r w:rsidRPr="00F85734">
        <w:rPr>
          <w:lang w:val="en-GB"/>
        </w:rPr>
        <w:t xml:space="preserve">in the final accounts </w:t>
      </w:r>
      <w:r w:rsidR="00C453E4" w:rsidRPr="00F85734">
        <w:rPr>
          <w:lang w:val="en-GB"/>
        </w:rPr>
        <w:t xml:space="preserve">report </w:t>
      </w:r>
      <w:r w:rsidRPr="00F85734">
        <w:rPr>
          <w:lang w:val="en-GB"/>
        </w:rPr>
        <w:t>of 2024/25</w:t>
      </w:r>
      <w:r w:rsidR="00EA14ED" w:rsidRPr="00F85734">
        <w:rPr>
          <w:lang w:val="en-GB"/>
        </w:rPr>
        <w:t>,</w:t>
      </w:r>
      <w:r w:rsidRPr="00F85734">
        <w:rPr>
          <w:lang w:val="en-GB"/>
        </w:rPr>
        <w:t xml:space="preserve"> that the working ba</w:t>
      </w:r>
      <w:r w:rsidR="00C453E4" w:rsidRPr="00F85734">
        <w:rPr>
          <w:lang w:val="en-GB"/>
        </w:rPr>
        <w:t>l</w:t>
      </w:r>
      <w:r w:rsidRPr="00F85734">
        <w:rPr>
          <w:lang w:val="en-GB"/>
        </w:rPr>
        <w:t xml:space="preserve">ance </w:t>
      </w:r>
      <w:r w:rsidR="00C453E4" w:rsidRPr="00F85734">
        <w:rPr>
          <w:lang w:val="en-GB"/>
        </w:rPr>
        <w:t xml:space="preserve">was low compared to the Councils </w:t>
      </w:r>
      <w:r w:rsidR="00475ED8" w:rsidRPr="00F85734">
        <w:rPr>
          <w:lang w:val="en-GB"/>
        </w:rPr>
        <w:t xml:space="preserve">approved </w:t>
      </w:r>
      <w:r w:rsidR="006C4C81" w:rsidRPr="00F85734">
        <w:rPr>
          <w:lang w:val="en-GB"/>
        </w:rPr>
        <w:t>policy of maintaining a working balance of at least £</w:t>
      </w:r>
      <w:r w:rsidR="00475ED8" w:rsidRPr="00F85734">
        <w:rPr>
          <w:lang w:val="en-GB"/>
        </w:rPr>
        <w:t>7</w:t>
      </w:r>
      <w:r w:rsidR="006C4C81" w:rsidRPr="00F85734">
        <w:rPr>
          <w:lang w:val="en-GB"/>
        </w:rPr>
        <w:t>0,000</w:t>
      </w:r>
      <w:r w:rsidR="00475ED8" w:rsidRPr="00F85734">
        <w:rPr>
          <w:lang w:val="en-GB"/>
        </w:rPr>
        <w:t>.</w:t>
      </w:r>
      <w:r w:rsidR="003F65B4" w:rsidRPr="00F85734">
        <w:rPr>
          <w:lang w:val="en-GB"/>
        </w:rPr>
        <w:t xml:space="preserve"> </w:t>
      </w:r>
    </w:p>
    <w:p w14:paraId="3A0E95FB" w14:textId="77777777" w:rsidR="00A948E0" w:rsidRPr="00F85734" w:rsidRDefault="00A948E0" w:rsidP="00A948E0">
      <w:pPr>
        <w:ind w:left="142"/>
        <w:rPr>
          <w:lang w:val="en-GB"/>
        </w:rPr>
      </w:pPr>
    </w:p>
    <w:p w14:paraId="44CE14E2" w14:textId="6669E359" w:rsidR="00C453E4" w:rsidRPr="00F85734" w:rsidRDefault="00C453E4" w:rsidP="00A948E0">
      <w:pPr>
        <w:ind w:left="142"/>
        <w:rPr>
          <w:lang w:val="en-GB"/>
        </w:rPr>
      </w:pPr>
      <w:r w:rsidRPr="00F85734">
        <w:rPr>
          <w:lang w:val="en-GB"/>
        </w:rPr>
        <w:t xml:space="preserve">I am pleased to report that the outturn figure of </w:t>
      </w:r>
      <w:r w:rsidR="00EA14ED" w:rsidRPr="00F85734">
        <w:rPr>
          <w:lang w:val="en-GB"/>
        </w:rPr>
        <w:t xml:space="preserve">£504,180 </w:t>
      </w:r>
      <w:r w:rsidRPr="00F85734">
        <w:rPr>
          <w:lang w:val="en-GB"/>
        </w:rPr>
        <w:t xml:space="preserve">compared with the precept figure of </w:t>
      </w:r>
      <w:r w:rsidR="00EA14ED" w:rsidRPr="00F85734">
        <w:rPr>
          <w:lang w:val="en-GB"/>
        </w:rPr>
        <w:t xml:space="preserve">£527,511 gives a balance of £23,331 </w:t>
      </w:r>
      <w:r w:rsidR="00F85734">
        <w:rPr>
          <w:lang w:val="en-GB"/>
        </w:rPr>
        <w:t xml:space="preserve">(Table </w:t>
      </w:r>
      <w:r w:rsidR="0032519A">
        <w:rPr>
          <w:lang w:val="en-GB"/>
        </w:rPr>
        <w:t>No</w:t>
      </w:r>
      <w:r w:rsidR="00F85734">
        <w:rPr>
          <w:lang w:val="en-GB"/>
        </w:rPr>
        <w:t xml:space="preserve">1) </w:t>
      </w:r>
      <w:r w:rsidR="00EA14ED" w:rsidRPr="00F85734">
        <w:rPr>
          <w:lang w:val="en-GB"/>
        </w:rPr>
        <w:t xml:space="preserve">and this added to last year’s figure of £57,289 </w:t>
      </w:r>
      <w:r w:rsidR="0032519A">
        <w:rPr>
          <w:lang w:val="en-GB"/>
        </w:rPr>
        <w:t xml:space="preserve">as stated in the paragraph above, </w:t>
      </w:r>
      <w:r w:rsidR="00EA14ED" w:rsidRPr="00F85734">
        <w:rPr>
          <w:lang w:val="en-GB"/>
        </w:rPr>
        <w:t>h</w:t>
      </w:r>
      <w:r w:rsidRPr="00F85734">
        <w:rPr>
          <w:lang w:val="en-GB"/>
        </w:rPr>
        <w:t>as restored the Councils working balances to a healthy figure of £80,</w:t>
      </w:r>
      <w:r w:rsidR="00EA14ED" w:rsidRPr="00F85734">
        <w:rPr>
          <w:lang w:val="en-GB"/>
        </w:rPr>
        <w:t>620 to maintain a strong financial position for the Council</w:t>
      </w:r>
      <w:r w:rsidR="0032519A">
        <w:rPr>
          <w:lang w:val="en-GB"/>
        </w:rPr>
        <w:t xml:space="preserve">, and this is also confirmed within the Internal Audit </w:t>
      </w:r>
      <w:r w:rsidR="00D873F6">
        <w:rPr>
          <w:lang w:val="en-GB"/>
        </w:rPr>
        <w:t>R</w:t>
      </w:r>
      <w:r w:rsidR="0032519A">
        <w:rPr>
          <w:lang w:val="en-GB"/>
        </w:rPr>
        <w:t>eport for 2025/26</w:t>
      </w:r>
      <w:r w:rsidR="00EA14ED" w:rsidRPr="00F85734">
        <w:rPr>
          <w:lang w:val="en-GB"/>
        </w:rPr>
        <w:t>.</w:t>
      </w:r>
    </w:p>
    <w:p w14:paraId="7C8F7880" w14:textId="71A0F25F" w:rsidR="005573D8" w:rsidRPr="00F85734" w:rsidRDefault="005573D8" w:rsidP="00A948E0">
      <w:pPr>
        <w:ind w:left="709"/>
        <w:rPr>
          <w:lang w:val="en-GB"/>
        </w:rPr>
      </w:pPr>
    </w:p>
    <w:p w14:paraId="0617BC34" w14:textId="77C9F2BD" w:rsidR="005573D8" w:rsidRPr="00F85734" w:rsidRDefault="001353D4" w:rsidP="00A948E0">
      <w:pPr>
        <w:pStyle w:val="ListParagraph"/>
        <w:numPr>
          <w:ilvl w:val="0"/>
          <w:numId w:val="42"/>
        </w:numPr>
        <w:ind w:left="567" w:hanging="425"/>
        <w:rPr>
          <w:lang w:val="en-GB"/>
        </w:rPr>
      </w:pPr>
      <w:r w:rsidRPr="00F85734">
        <w:rPr>
          <w:lang w:val="en-GB"/>
        </w:rPr>
        <w:t>t</w:t>
      </w:r>
      <w:r w:rsidR="005573D8" w:rsidRPr="00F85734">
        <w:rPr>
          <w:lang w:val="en-GB"/>
        </w:rPr>
        <w:t>he spending decision</w:t>
      </w:r>
      <w:r w:rsidR="00504E08" w:rsidRPr="00F85734">
        <w:rPr>
          <w:lang w:val="en-GB"/>
        </w:rPr>
        <w:t>s</w:t>
      </w:r>
      <w:r w:rsidR="005573D8" w:rsidRPr="00F85734">
        <w:rPr>
          <w:lang w:val="en-GB"/>
        </w:rPr>
        <w:t xml:space="preserve"> taken by the Council during the financial year were made knowing the Council’s financial position and it could be argued that </w:t>
      </w:r>
      <w:r w:rsidR="00504E08" w:rsidRPr="00F85734">
        <w:rPr>
          <w:lang w:val="en-GB"/>
        </w:rPr>
        <w:t>the very purpose of holding these balances is to enable additional spending to be incurred during the financial year where it is felt to be necessary; and</w:t>
      </w:r>
    </w:p>
    <w:p w14:paraId="2C2C51CE" w14:textId="75AED9C7" w:rsidR="00504E08" w:rsidRPr="00F85734" w:rsidRDefault="001353D4" w:rsidP="00A948E0">
      <w:pPr>
        <w:pStyle w:val="ListParagraph"/>
        <w:numPr>
          <w:ilvl w:val="0"/>
          <w:numId w:val="42"/>
        </w:numPr>
        <w:ind w:left="567" w:hanging="425"/>
        <w:rPr>
          <w:lang w:val="en-GB"/>
        </w:rPr>
      </w:pPr>
      <w:r w:rsidRPr="00F85734">
        <w:rPr>
          <w:lang w:val="en-GB"/>
        </w:rPr>
        <w:t>t</w:t>
      </w:r>
      <w:r w:rsidR="00504E08" w:rsidRPr="00F85734">
        <w:rPr>
          <w:lang w:val="en-GB"/>
        </w:rPr>
        <w:t xml:space="preserve">he </w:t>
      </w:r>
      <w:r w:rsidR="00206CAF" w:rsidRPr="00F85734">
        <w:rPr>
          <w:lang w:val="en-GB"/>
        </w:rPr>
        <w:t>reasonable</w:t>
      </w:r>
      <w:r w:rsidR="00504E08" w:rsidRPr="00F85734">
        <w:rPr>
          <w:lang w:val="en-GB"/>
        </w:rPr>
        <w:t xml:space="preserve"> precept increase approved in February </w:t>
      </w:r>
      <w:r w:rsidR="00E00D99" w:rsidRPr="00F85734">
        <w:rPr>
          <w:lang w:val="en-GB"/>
        </w:rPr>
        <w:t xml:space="preserve">this year </w:t>
      </w:r>
      <w:r w:rsidR="00AB55A4" w:rsidRPr="00F85734">
        <w:rPr>
          <w:lang w:val="en-GB"/>
        </w:rPr>
        <w:t>was calculated in a way t</w:t>
      </w:r>
      <w:r w:rsidR="00E00D99" w:rsidRPr="00F85734">
        <w:rPr>
          <w:lang w:val="en-GB"/>
        </w:rPr>
        <w:t xml:space="preserve">hat would </w:t>
      </w:r>
      <w:r w:rsidR="00AB55A4" w:rsidRPr="00F85734">
        <w:rPr>
          <w:lang w:val="en-GB"/>
        </w:rPr>
        <w:t xml:space="preserve">restore the level of balances to </w:t>
      </w:r>
      <w:r w:rsidR="00C0048B" w:rsidRPr="00F85734">
        <w:rPr>
          <w:lang w:val="en-GB"/>
        </w:rPr>
        <w:t xml:space="preserve">at least </w:t>
      </w:r>
      <w:r w:rsidR="00AB55A4" w:rsidRPr="00F85734">
        <w:rPr>
          <w:lang w:val="en-GB"/>
        </w:rPr>
        <w:t>£70,000</w:t>
      </w:r>
    </w:p>
    <w:p w14:paraId="60EF6A80" w14:textId="77777777" w:rsidR="00566A0D" w:rsidRPr="00F85734" w:rsidRDefault="00566A0D" w:rsidP="00A948E0">
      <w:pPr>
        <w:ind w:left="284" w:firstLine="425"/>
        <w:rPr>
          <w:iCs/>
          <w:lang w:val="en-GB"/>
        </w:rPr>
      </w:pPr>
    </w:p>
    <w:p w14:paraId="7B833CED" w14:textId="77777777" w:rsidR="00C52FCF" w:rsidRDefault="00823E1C" w:rsidP="00A948E0">
      <w:pPr>
        <w:numPr>
          <w:ilvl w:val="0"/>
          <w:numId w:val="20"/>
        </w:numPr>
        <w:tabs>
          <w:tab w:val="clear" w:pos="786"/>
          <w:tab w:val="num" w:pos="284"/>
        </w:tabs>
        <w:ind w:left="720" w:hanging="720"/>
        <w:rPr>
          <w:b/>
          <w:u w:val="single"/>
          <w:lang w:val="en-GB"/>
        </w:rPr>
      </w:pPr>
      <w:r w:rsidRPr="00373528">
        <w:rPr>
          <w:b/>
          <w:u w:val="single"/>
          <w:lang w:val="en-GB"/>
        </w:rPr>
        <w:t>RECOMMENDATION</w:t>
      </w:r>
    </w:p>
    <w:p w14:paraId="0BCDB578" w14:textId="77777777" w:rsidR="00A948E0" w:rsidRPr="00373528" w:rsidRDefault="00A948E0" w:rsidP="00A948E0">
      <w:pPr>
        <w:tabs>
          <w:tab w:val="num" w:pos="284"/>
        </w:tabs>
        <w:ind w:left="720"/>
        <w:rPr>
          <w:b/>
          <w:u w:val="single"/>
          <w:lang w:val="en-GB"/>
        </w:rPr>
      </w:pPr>
    </w:p>
    <w:p w14:paraId="74C5571E" w14:textId="6C03FD53" w:rsidR="004B70E8" w:rsidRPr="009B599D" w:rsidRDefault="00823E1C" w:rsidP="00A948E0">
      <w:pPr>
        <w:ind w:left="284"/>
        <w:rPr>
          <w:lang w:val="en-GB"/>
        </w:rPr>
      </w:pPr>
      <w:r>
        <w:rPr>
          <w:lang w:val="en-GB"/>
        </w:rPr>
        <w:t xml:space="preserve">That the </w:t>
      </w:r>
      <w:r w:rsidR="00674220">
        <w:rPr>
          <w:lang w:val="en-GB"/>
        </w:rPr>
        <w:t xml:space="preserve">Committee recommend that the Town </w:t>
      </w:r>
      <w:r w:rsidR="00310653">
        <w:rPr>
          <w:lang w:val="en-GB"/>
        </w:rPr>
        <w:t>Council approv</w:t>
      </w:r>
      <w:r w:rsidR="00385B0A">
        <w:rPr>
          <w:lang w:val="en-GB"/>
        </w:rPr>
        <w:t>e</w:t>
      </w:r>
      <w:r w:rsidR="0014437F">
        <w:rPr>
          <w:lang w:val="en-GB"/>
        </w:rPr>
        <w:t xml:space="preserve">, subject to audit, </w:t>
      </w:r>
      <w:r w:rsidR="00310653">
        <w:rPr>
          <w:lang w:val="en-GB"/>
        </w:rPr>
        <w:t>the</w:t>
      </w:r>
      <w:r>
        <w:rPr>
          <w:lang w:val="en-GB"/>
        </w:rPr>
        <w:t xml:space="preserve"> </w:t>
      </w:r>
      <w:r w:rsidR="006D1E01">
        <w:rPr>
          <w:lang w:val="en-GB"/>
        </w:rPr>
        <w:t>f</w:t>
      </w:r>
      <w:r>
        <w:rPr>
          <w:lang w:val="en-GB"/>
        </w:rPr>
        <w:t>inal</w:t>
      </w:r>
      <w:r w:rsidR="005E0486">
        <w:rPr>
          <w:lang w:val="en-GB"/>
        </w:rPr>
        <w:t xml:space="preserve"> </w:t>
      </w:r>
      <w:r w:rsidR="006D1E01">
        <w:rPr>
          <w:lang w:val="en-GB"/>
        </w:rPr>
        <w:t>a</w:t>
      </w:r>
      <w:r w:rsidR="005E0486">
        <w:rPr>
          <w:lang w:val="en-GB"/>
        </w:rPr>
        <w:t>ccounts for 20</w:t>
      </w:r>
      <w:r w:rsidR="00CB28F4">
        <w:rPr>
          <w:lang w:val="en-GB"/>
        </w:rPr>
        <w:t>2</w:t>
      </w:r>
      <w:r w:rsidR="00526FD7">
        <w:rPr>
          <w:lang w:val="en-GB"/>
        </w:rPr>
        <w:t>5</w:t>
      </w:r>
      <w:r w:rsidR="005E0486">
        <w:rPr>
          <w:lang w:val="en-GB"/>
        </w:rPr>
        <w:t>/</w:t>
      </w:r>
      <w:r w:rsidR="00D16B22">
        <w:rPr>
          <w:lang w:val="en-GB"/>
        </w:rPr>
        <w:t>2</w:t>
      </w:r>
      <w:r w:rsidR="00526FD7">
        <w:rPr>
          <w:lang w:val="en-GB"/>
        </w:rPr>
        <w:t>6</w:t>
      </w:r>
      <w:r w:rsidR="006D1E01">
        <w:rPr>
          <w:lang w:val="en-GB"/>
        </w:rPr>
        <w:t>.</w:t>
      </w:r>
      <w:r w:rsidR="00F44184">
        <w:rPr>
          <w:lang w:val="en-GB"/>
        </w:rPr>
        <w:t xml:space="preserve"> </w:t>
      </w:r>
      <w:r w:rsidR="00A948E0">
        <w:rPr>
          <w:lang w:val="en-GB"/>
        </w:rPr>
        <w:t xml:space="preserve"> </w:t>
      </w:r>
      <w:r w:rsidR="00B978EE">
        <w:rPr>
          <w:lang w:val="en-GB"/>
        </w:rPr>
        <w:t xml:space="preserve">This </w:t>
      </w:r>
      <w:r w:rsidR="00921F57">
        <w:rPr>
          <w:lang w:val="en-GB"/>
        </w:rPr>
        <w:t>r</w:t>
      </w:r>
      <w:r w:rsidR="00B978EE">
        <w:rPr>
          <w:lang w:val="en-GB"/>
        </w:rPr>
        <w:t xml:space="preserve">eport has been prepared by </w:t>
      </w:r>
      <w:r w:rsidR="00526FD7">
        <w:rPr>
          <w:lang w:val="en-GB"/>
        </w:rPr>
        <w:t>Debbie While, Responsible Financial Officer</w:t>
      </w:r>
      <w:r w:rsidR="00B978EE">
        <w:rPr>
          <w:lang w:val="en-GB"/>
        </w:rPr>
        <w:t xml:space="preserve"> who will be pleased to respond to any questions arising</w:t>
      </w:r>
      <w:r w:rsidR="00D86C20">
        <w:rPr>
          <w:lang w:val="en-GB"/>
        </w:rPr>
        <w:t>.</w:t>
      </w:r>
      <w:r w:rsidR="008B7D00">
        <w:rPr>
          <w:lang w:val="en-GB"/>
        </w:rPr>
        <w:t xml:space="preserve"> </w:t>
      </w:r>
    </w:p>
    <w:sectPr w:rsidR="004B70E8" w:rsidRPr="009B599D" w:rsidSect="00863699">
      <w:headerReference w:type="default" r:id="rId7"/>
      <w:pgSz w:w="12240" w:h="15840"/>
      <w:pgMar w:top="709" w:right="1467" w:bottom="28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C1A8" w14:textId="77777777" w:rsidR="00087E28" w:rsidRDefault="00087E28" w:rsidP="00744C02">
      <w:r>
        <w:separator/>
      </w:r>
    </w:p>
  </w:endnote>
  <w:endnote w:type="continuationSeparator" w:id="0">
    <w:p w14:paraId="2303DADB" w14:textId="77777777" w:rsidR="00087E28" w:rsidRDefault="00087E28" w:rsidP="0074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772E" w14:textId="77777777" w:rsidR="00087E28" w:rsidRDefault="00087E28" w:rsidP="00744C02">
      <w:r>
        <w:separator/>
      </w:r>
    </w:p>
  </w:footnote>
  <w:footnote w:type="continuationSeparator" w:id="0">
    <w:p w14:paraId="18A311CC" w14:textId="77777777" w:rsidR="00087E28" w:rsidRDefault="00087E28" w:rsidP="0074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6A0D" w14:textId="44B23F7D" w:rsidR="00336C67" w:rsidRPr="00A948E0" w:rsidRDefault="00A948E0" w:rsidP="00A948E0">
    <w:pPr>
      <w:pStyle w:val="Header"/>
      <w:jc w:val="right"/>
      <w:rPr>
        <w:rFonts w:ascii="Arial" w:hAnsi="Arial" w:cs="Arial"/>
        <w:b/>
        <w:bCs/>
      </w:rPr>
    </w:pPr>
    <w:r w:rsidRPr="00A948E0">
      <w:rPr>
        <w:rFonts w:ascii="Arial" w:hAnsi="Arial" w:cs="Arial"/>
        <w:b/>
        <w:bCs/>
      </w:rPr>
      <w:t>Agenda Item No. 7</w:t>
    </w:r>
  </w:p>
  <w:p w14:paraId="2F0FE1D4" w14:textId="7CD950BE" w:rsidR="00A948E0" w:rsidRPr="00A948E0" w:rsidRDefault="00A948E0" w:rsidP="00A948E0">
    <w:pPr>
      <w:pStyle w:val="Header"/>
      <w:jc w:val="right"/>
      <w:rPr>
        <w:rFonts w:ascii="Arial" w:hAnsi="Arial" w:cs="Arial"/>
        <w:b/>
        <w:bCs/>
      </w:rPr>
    </w:pPr>
    <w:r w:rsidRPr="00A948E0">
      <w:rPr>
        <w:rFonts w:ascii="Arial" w:hAnsi="Arial" w:cs="Arial"/>
        <w:b/>
        <w:bCs/>
      </w:rPr>
      <w:t>Appendix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C97"/>
    <w:multiLevelType w:val="multilevel"/>
    <w:tmpl w:val="B30C73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9614D4"/>
    <w:multiLevelType w:val="multilevel"/>
    <w:tmpl w:val="C20241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u w:val="single"/>
      </w:rPr>
    </w:lvl>
  </w:abstractNum>
  <w:abstractNum w:abstractNumId="2" w15:restartNumberingAfterBreak="0">
    <w:nsid w:val="055658C6"/>
    <w:multiLevelType w:val="multilevel"/>
    <w:tmpl w:val="E64CA6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A9535A6"/>
    <w:multiLevelType w:val="multilevel"/>
    <w:tmpl w:val="9F2AB5EE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B2F3B8F"/>
    <w:multiLevelType w:val="multilevel"/>
    <w:tmpl w:val="5158FB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BEE6189"/>
    <w:multiLevelType w:val="multilevel"/>
    <w:tmpl w:val="02501A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4C67A9"/>
    <w:multiLevelType w:val="multilevel"/>
    <w:tmpl w:val="C20241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u w:val="single"/>
      </w:rPr>
    </w:lvl>
  </w:abstractNum>
  <w:abstractNum w:abstractNumId="7" w15:restartNumberingAfterBreak="0">
    <w:nsid w:val="1C9124D2"/>
    <w:multiLevelType w:val="multilevel"/>
    <w:tmpl w:val="B30C73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D949BE"/>
    <w:multiLevelType w:val="multilevel"/>
    <w:tmpl w:val="8BD298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E763F6F"/>
    <w:multiLevelType w:val="multilevel"/>
    <w:tmpl w:val="B30C73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453385F"/>
    <w:multiLevelType w:val="multilevel"/>
    <w:tmpl w:val="A372CE5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773B43"/>
    <w:multiLevelType w:val="hybridMultilevel"/>
    <w:tmpl w:val="8168D0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2975C4"/>
    <w:multiLevelType w:val="hybridMultilevel"/>
    <w:tmpl w:val="502E7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D72DA"/>
    <w:multiLevelType w:val="multilevel"/>
    <w:tmpl w:val="8BD298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9A0B88"/>
    <w:multiLevelType w:val="multilevel"/>
    <w:tmpl w:val="3AEA8A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797DEF"/>
    <w:multiLevelType w:val="hybridMultilevel"/>
    <w:tmpl w:val="37D690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A32CC5"/>
    <w:multiLevelType w:val="hybridMultilevel"/>
    <w:tmpl w:val="A28C6C30"/>
    <w:lvl w:ilvl="0" w:tplc="EE1088F4">
      <w:start w:val="30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2C03807"/>
    <w:multiLevelType w:val="multilevel"/>
    <w:tmpl w:val="45564DB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9A5F77"/>
    <w:multiLevelType w:val="multilevel"/>
    <w:tmpl w:val="DB04EB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7E03BAB"/>
    <w:multiLevelType w:val="multilevel"/>
    <w:tmpl w:val="7A8CEE0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39681CE0"/>
    <w:multiLevelType w:val="multilevel"/>
    <w:tmpl w:val="A96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254195"/>
    <w:multiLevelType w:val="multilevel"/>
    <w:tmpl w:val="53A09AC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22" w15:restartNumberingAfterBreak="0">
    <w:nsid w:val="40F07AD3"/>
    <w:multiLevelType w:val="multilevel"/>
    <w:tmpl w:val="81947B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44900DD9"/>
    <w:multiLevelType w:val="multilevel"/>
    <w:tmpl w:val="DD9EAF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8A30E4"/>
    <w:multiLevelType w:val="multilevel"/>
    <w:tmpl w:val="DB04EB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4DCA0CA6"/>
    <w:multiLevelType w:val="multilevel"/>
    <w:tmpl w:val="DB04EB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3F179B4"/>
    <w:multiLevelType w:val="multilevel"/>
    <w:tmpl w:val="942A86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446AE7"/>
    <w:multiLevelType w:val="multilevel"/>
    <w:tmpl w:val="CC76573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4A32F90"/>
    <w:multiLevelType w:val="multilevel"/>
    <w:tmpl w:val="8BD298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BC344D"/>
    <w:multiLevelType w:val="multilevel"/>
    <w:tmpl w:val="A96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13D32"/>
    <w:multiLevelType w:val="hybridMultilevel"/>
    <w:tmpl w:val="BF78E1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426F75"/>
    <w:multiLevelType w:val="hybridMultilevel"/>
    <w:tmpl w:val="54D6E5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D5A1B10"/>
    <w:multiLevelType w:val="multilevel"/>
    <w:tmpl w:val="C3063AF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4414E1C"/>
    <w:multiLevelType w:val="hybridMultilevel"/>
    <w:tmpl w:val="9CFA9B3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4FC743E"/>
    <w:multiLevelType w:val="multilevel"/>
    <w:tmpl w:val="8BD298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2C63F1"/>
    <w:multiLevelType w:val="multilevel"/>
    <w:tmpl w:val="E3DE5BF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0452D9"/>
    <w:multiLevelType w:val="hybridMultilevel"/>
    <w:tmpl w:val="0D664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8599C"/>
    <w:multiLevelType w:val="hybridMultilevel"/>
    <w:tmpl w:val="A9688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FD7305"/>
    <w:multiLevelType w:val="multilevel"/>
    <w:tmpl w:val="C20241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u w:val="single"/>
      </w:rPr>
    </w:lvl>
  </w:abstractNum>
  <w:abstractNum w:abstractNumId="39" w15:restartNumberingAfterBreak="0">
    <w:nsid w:val="73DF0152"/>
    <w:multiLevelType w:val="multilevel"/>
    <w:tmpl w:val="9036CB1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6B6B49"/>
    <w:multiLevelType w:val="multilevel"/>
    <w:tmpl w:val="0D6647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209D6"/>
    <w:multiLevelType w:val="multilevel"/>
    <w:tmpl w:val="2340BEA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54E118C"/>
    <w:multiLevelType w:val="multilevel"/>
    <w:tmpl w:val="E378258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137617"/>
    <w:multiLevelType w:val="multilevel"/>
    <w:tmpl w:val="B30C73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none"/>
      </w:rPr>
    </w:lvl>
  </w:abstractNum>
  <w:num w:numId="1" w16cid:durableId="115177789">
    <w:abstractNumId w:val="14"/>
  </w:num>
  <w:num w:numId="2" w16cid:durableId="733701447">
    <w:abstractNumId w:val="26"/>
  </w:num>
  <w:num w:numId="3" w16cid:durableId="2137992104">
    <w:abstractNumId w:val="10"/>
  </w:num>
  <w:num w:numId="4" w16cid:durableId="1655521748">
    <w:abstractNumId w:val="17"/>
  </w:num>
  <w:num w:numId="5" w16cid:durableId="1906455694">
    <w:abstractNumId w:val="42"/>
  </w:num>
  <w:num w:numId="6" w16cid:durableId="741219864">
    <w:abstractNumId w:val="21"/>
  </w:num>
  <w:num w:numId="7" w16cid:durableId="1508903284">
    <w:abstractNumId w:val="35"/>
  </w:num>
  <w:num w:numId="8" w16cid:durableId="72435818">
    <w:abstractNumId w:val="39"/>
  </w:num>
  <w:num w:numId="9" w16cid:durableId="1340885267">
    <w:abstractNumId w:val="41"/>
  </w:num>
  <w:num w:numId="10" w16cid:durableId="1385177888">
    <w:abstractNumId w:val="27"/>
  </w:num>
  <w:num w:numId="11" w16cid:durableId="1938439637">
    <w:abstractNumId w:val="8"/>
  </w:num>
  <w:num w:numId="12" w16cid:durableId="1354768999">
    <w:abstractNumId w:val="13"/>
  </w:num>
  <w:num w:numId="13" w16cid:durableId="78868599">
    <w:abstractNumId w:val="28"/>
  </w:num>
  <w:num w:numId="14" w16cid:durableId="2078897259">
    <w:abstractNumId w:val="34"/>
  </w:num>
  <w:num w:numId="15" w16cid:durableId="1399669306">
    <w:abstractNumId w:val="23"/>
  </w:num>
  <w:num w:numId="16" w16cid:durableId="366872613">
    <w:abstractNumId w:val="37"/>
  </w:num>
  <w:num w:numId="17" w16cid:durableId="1819878596">
    <w:abstractNumId w:val="29"/>
  </w:num>
  <w:num w:numId="18" w16cid:durableId="1823041311">
    <w:abstractNumId w:val="20"/>
  </w:num>
  <w:num w:numId="19" w16cid:durableId="210387543">
    <w:abstractNumId w:val="36"/>
  </w:num>
  <w:num w:numId="20" w16cid:durableId="571936230">
    <w:abstractNumId w:val="40"/>
  </w:num>
  <w:num w:numId="21" w16cid:durableId="1727410433">
    <w:abstractNumId w:val="4"/>
  </w:num>
  <w:num w:numId="22" w16cid:durableId="1066299882">
    <w:abstractNumId w:val="9"/>
  </w:num>
  <w:num w:numId="23" w16cid:durableId="1647582763">
    <w:abstractNumId w:val="0"/>
  </w:num>
  <w:num w:numId="24" w16cid:durableId="653290973">
    <w:abstractNumId w:val="7"/>
  </w:num>
  <w:num w:numId="25" w16cid:durableId="1602645733">
    <w:abstractNumId w:val="3"/>
  </w:num>
  <w:num w:numId="26" w16cid:durableId="1192109142">
    <w:abstractNumId w:val="43"/>
  </w:num>
  <w:num w:numId="27" w16cid:durableId="1700158453">
    <w:abstractNumId w:val="38"/>
  </w:num>
  <w:num w:numId="28" w16cid:durableId="630131226">
    <w:abstractNumId w:val="6"/>
  </w:num>
  <w:num w:numId="29" w16cid:durableId="669603100">
    <w:abstractNumId w:val="1"/>
  </w:num>
  <w:num w:numId="30" w16cid:durableId="1050685365">
    <w:abstractNumId w:val="25"/>
  </w:num>
  <w:num w:numId="31" w16cid:durableId="598804302">
    <w:abstractNumId w:val="24"/>
  </w:num>
  <w:num w:numId="32" w16cid:durableId="1801342815">
    <w:abstractNumId w:val="18"/>
  </w:num>
  <w:num w:numId="33" w16cid:durableId="601183658">
    <w:abstractNumId w:val="19"/>
  </w:num>
  <w:num w:numId="34" w16cid:durableId="1529753283">
    <w:abstractNumId w:val="5"/>
  </w:num>
  <w:num w:numId="35" w16cid:durableId="1037435480">
    <w:abstractNumId w:val="15"/>
  </w:num>
  <w:num w:numId="36" w16cid:durableId="1279679942">
    <w:abstractNumId w:val="32"/>
  </w:num>
  <w:num w:numId="37" w16cid:durableId="676079652">
    <w:abstractNumId w:val="22"/>
  </w:num>
  <w:num w:numId="38" w16cid:durableId="1452361242">
    <w:abstractNumId w:val="11"/>
  </w:num>
  <w:num w:numId="39" w16cid:durableId="1328172675">
    <w:abstractNumId w:val="2"/>
  </w:num>
  <w:num w:numId="40" w16cid:durableId="344482764">
    <w:abstractNumId w:val="12"/>
  </w:num>
  <w:num w:numId="41" w16cid:durableId="694697229">
    <w:abstractNumId w:val="30"/>
  </w:num>
  <w:num w:numId="42" w16cid:durableId="1650983310">
    <w:abstractNumId w:val="33"/>
  </w:num>
  <w:num w:numId="43" w16cid:durableId="233397857">
    <w:abstractNumId w:val="16"/>
  </w:num>
  <w:num w:numId="44" w16cid:durableId="3668343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E8"/>
    <w:rsid w:val="0000384F"/>
    <w:rsid w:val="000105C0"/>
    <w:rsid w:val="00011FCA"/>
    <w:rsid w:val="0001613B"/>
    <w:rsid w:val="00017418"/>
    <w:rsid w:val="00017E2F"/>
    <w:rsid w:val="00020352"/>
    <w:rsid w:val="0002120B"/>
    <w:rsid w:val="00030DB0"/>
    <w:rsid w:val="00033A8E"/>
    <w:rsid w:val="00041A06"/>
    <w:rsid w:val="000537A7"/>
    <w:rsid w:val="000725AE"/>
    <w:rsid w:val="00074DCB"/>
    <w:rsid w:val="0008146C"/>
    <w:rsid w:val="00087E28"/>
    <w:rsid w:val="00090F68"/>
    <w:rsid w:val="000911B3"/>
    <w:rsid w:val="00091233"/>
    <w:rsid w:val="00094B36"/>
    <w:rsid w:val="000A248D"/>
    <w:rsid w:val="000A3198"/>
    <w:rsid w:val="000A3575"/>
    <w:rsid w:val="000A5815"/>
    <w:rsid w:val="000A5A15"/>
    <w:rsid w:val="000D2EFD"/>
    <w:rsid w:val="000D749C"/>
    <w:rsid w:val="000E5404"/>
    <w:rsid w:val="000E7FBF"/>
    <w:rsid w:val="000F426F"/>
    <w:rsid w:val="00111D0D"/>
    <w:rsid w:val="00117E52"/>
    <w:rsid w:val="00125411"/>
    <w:rsid w:val="001353D4"/>
    <w:rsid w:val="00141AA6"/>
    <w:rsid w:val="00142408"/>
    <w:rsid w:val="0014437F"/>
    <w:rsid w:val="001473E5"/>
    <w:rsid w:val="0015101E"/>
    <w:rsid w:val="001612F1"/>
    <w:rsid w:val="00171EB2"/>
    <w:rsid w:val="0017576F"/>
    <w:rsid w:val="0018677D"/>
    <w:rsid w:val="001A16D5"/>
    <w:rsid w:val="001A360C"/>
    <w:rsid w:val="001B5659"/>
    <w:rsid w:val="001C14BA"/>
    <w:rsid w:val="001C45A9"/>
    <w:rsid w:val="001C6A76"/>
    <w:rsid w:val="001D24C5"/>
    <w:rsid w:val="001F3A79"/>
    <w:rsid w:val="00200A89"/>
    <w:rsid w:val="002024C5"/>
    <w:rsid w:val="002037C6"/>
    <w:rsid w:val="002056C4"/>
    <w:rsid w:val="002056DA"/>
    <w:rsid w:val="00206CAF"/>
    <w:rsid w:val="00210BC4"/>
    <w:rsid w:val="0023346C"/>
    <w:rsid w:val="00241D08"/>
    <w:rsid w:val="00243420"/>
    <w:rsid w:val="002459C5"/>
    <w:rsid w:val="00247375"/>
    <w:rsid w:val="00256C50"/>
    <w:rsid w:val="00272A73"/>
    <w:rsid w:val="002855A5"/>
    <w:rsid w:val="00294305"/>
    <w:rsid w:val="002A6B47"/>
    <w:rsid w:val="002A75E2"/>
    <w:rsid w:val="002B0E7C"/>
    <w:rsid w:val="002B3C09"/>
    <w:rsid w:val="002B49EA"/>
    <w:rsid w:val="002B5D38"/>
    <w:rsid w:val="002C6564"/>
    <w:rsid w:val="002D117E"/>
    <w:rsid w:val="002D35DB"/>
    <w:rsid w:val="002D42B4"/>
    <w:rsid w:val="002E01E7"/>
    <w:rsid w:val="002E352A"/>
    <w:rsid w:val="002E4012"/>
    <w:rsid w:val="002F1F65"/>
    <w:rsid w:val="002F5E01"/>
    <w:rsid w:val="00301A89"/>
    <w:rsid w:val="00305C2B"/>
    <w:rsid w:val="00310653"/>
    <w:rsid w:val="003107A6"/>
    <w:rsid w:val="003110CB"/>
    <w:rsid w:val="00321079"/>
    <w:rsid w:val="0032519A"/>
    <w:rsid w:val="00331486"/>
    <w:rsid w:val="00335CBD"/>
    <w:rsid w:val="00336C67"/>
    <w:rsid w:val="00340300"/>
    <w:rsid w:val="0036316B"/>
    <w:rsid w:val="00373528"/>
    <w:rsid w:val="00381361"/>
    <w:rsid w:val="00385B0A"/>
    <w:rsid w:val="00393E03"/>
    <w:rsid w:val="003A124C"/>
    <w:rsid w:val="003A7F3C"/>
    <w:rsid w:val="003B6D8E"/>
    <w:rsid w:val="003C4DB3"/>
    <w:rsid w:val="003D60EF"/>
    <w:rsid w:val="003E0BBE"/>
    <w:rsid w:val="003F65B4"/>
    <w:rsid w:val="00402E06"/>
    <w:rsid w:val="00404623"/>
    <w:rsid w:val="00405E45"/>
    <w:rsid w:val="004112B5"/>
    <w:rsid w:val="00411608"/>
    <w:rsid w:val="004147EB"/>
    <w:rsid w:val="004279D6"/>
    <w:rsid w:val="00430170"/>
    <w:rsid w:val="004362CC"/>
    <w:rsid w:val="004404E1"/>
    <w:rsid w:val="00440F88"/>
    <w:rsid w:val="004411DD"/>
    <w:rsid w:val="004471E8"/>
    <w:rsid w:val="00447F7B"/>
    <w:rsid w:val="00466B46"/>
    <w:rsid w:val="00467768"/>
    <w:rsid w:val="00472402"/>
    <w:rsid w:val="00475ED8"/>
    <w:rsid w:val="0048596F"/>
    <w:rsid w:val="00485B2A"/>
    <w:rsid w:val="00496632"/>
    <w:rsid w:val="004A3A0B"/>
    <w:rsid w:val="004A5A36"/>
    <w:rsid w:val="004A7968"/>
    <w:rsid w:val="004B50AC"/>
    <w:rsid w:val="004B70E8"/>
    <w:rsid w:val="004C45BC"/>
    <w:rsid w:val="004C6941"/>
    <w:rsid w:val="004C7E17"/>
    <w:rsid w:val="004C7FE3"/>
    <w:rsid w:val="004E6D21"/>
    <w:rsid w:val="004F5BA1"/>
    <w:rsid w:val="005031F4"/>
    <w:rsid w:val="00504E08"/>
    <w:rsid w:val="00504ED8"/>
    <w:rsid w:val="00505ED4"/>
    <w:rsid w:val="00510D5F"/>
    <w:rsid w:val="0052145D"/>
    <w:rsid w:val="00526FD7"/>
    <w:rsid w:val="00530F75"/>
    <w:rsid w:val="00532EAF"/>
    <w:rsid w:val="00544F1E"/>
    <w:rsid w:val="005573D8"/>
    <w:rsid w:val="005607D1"/>
    <w:rsid w:val="00564B53"/>
    <w:rsid w:val="00566A0D"/>
    <w:rsid w:val="005720CC"/>
    <w:rsid w:val="00582FD8"/>
    <w:rsid w:val="00584396"/>
    <w:rsid w:val="00584C9D"/>
    <w:rsid w:val="00585969"/>
    <w:rsid w:val="00597260"/>
    <w:rsid w:val="005A1CE3"/>
    <w:rsid w:val="005A6DFB"/>
    <w:rsid w:val="005B0855"/>
    <w:rsid w:val="005B17B0"/>
    <w:rsid w:val="005B2310"/>
    <w:rsid w:val="005B50F1"/>
    <w:rsid w:val="005B7209"/>
    <w:rsid w:val="005B771E"/>
    <w:rsid w:val="005C02CB"/>
    <w:rsid w:val="005C71BD"/>
    <w:rsid w:val="005D1F84"/>
    <w:rsid w:val="005D3D92"/>
    <w:rsid w:val="005D6EC5"/>
    <w:rsid w:val="005E0486"/>
    <w:rsid w:val="005E17F7"/>
    <w:rsid w:val="005E5468"/>
    <w:rsid w:val="005F154C"/>
    <w:rsid w:val="005F661E"/>
    <w:rsid w:val="006000B9"/>
    <w:rsid w:val="00601CD4"/>
    <w:rsid w:val="0060218C"/>
    <w:rsid w:val="00603471"/>
    <w:rsid w:val="006037CD"/>
    <w:rsid w:val="006232B5"/>
    <w:rsid w:val="006364DC"/>
    <w:rsid w:val="00636E54"/>
    <w:rsid w:val="0064132C"/>
    <w:rsid w:val="006516B3"/>
    <w:rsid w:val="00653023"/>
    <w:rsid w:val="0065719F"/>
    <w:rsid w:val="00660AD6"/>
    <w:rsid w:val="00670B96"/>
    <w:rsid w:val="00673764"/>
    <w:rsid w:val="00674220"/>
    <w:rsid w:val="00680722"/>
    <w:rsid w:val="006951F6"/>
    <w:rsid w:val="006976C2"/>
    <w:rsid w:val="006A06FB"/>
    <w:rsid w:val="006A0FDF"/>
    <w:rsid w:val="006A333A"/>
    <w:rsid w:val="006B08E6"/>
    <w:rsid w:val="006B0ED7"/>
    <w:rsid w:val="006B2766"/>
    <w:rsid w:val="006B6B9D"/>
    <w:rsid w:val="006C4C81"/>
    <w:rsid w:val="006D1E01"/>
    <w:rsid w:val="006E708D"/>
    <w:rsid w:val="006F0CB8"/>
    <w:rsid w:val="006F49B4"/>
    <w:rsid w:val="00703472"/>
    <w:rsid w:val="00711ED0"/>
    <w:rsid w:val="007247A9"/>
    <w:rsid w:val="007300B7"/>
    <w:rsid w:val="00734A7A"/>
    <w:rsid w:val="00736DAB"/>
    <w:rsid w:val="00744C02"/>
    <w:rsid w:val="00746E36"/>
    <w:rsid w:val="00760D60"/>
    <w:rsid w:val="00771F0A"/>
    <w:rsid w:val="00781645"/>
    <w:rsid w:val="00784832"/>
    <w:rsid w:val="007863EB"/>
    <w:rsid w:val="00787965"/>
    <w:rsid w:val="0079375D"/>
    <w:rsid w:val="00797BFA"/>
    <w:rsid w:val="007A157A"/>
    <w:rsid w:val="007A1B51"/>
    <w:rsid w:val="007D5844"/>
    <w:rsid w:val="007D66CD"/>
    <w:rsid w:val="007E1375"/>
    <w:rsid w:val="007E49DE"/>
    <w:rsid w:val="007E5678"/>
    <w:rsid w:val="007F051F"/>
    <w:rsid w:val="007F16E5"/>
    <w:rsid w:val="007F4125"/>
    <w:rsid w:val="007F53CE"/>
    <w:rsid w:val="007F7986"/>
    <w:rsid w:val="00800601"/>
    <w:rsid w:val="0080172B"/>
    <w:rsid w:val="00803E37"/>
    <w:rsid w:val="00804385"/>
    <w:rsid w:val="00810EF9"/>
    <w:rsid w:val="008221F8"/>
    <w:rsid w:val="00823E1C"/>
    <w:rsid w:val="0082578C"/>
    <w:rsid w:val="00826BF7"/>
    <w:rsid w:val="00834025"/>
    <w:rsid w:val="00846B99"/>
    <w:rsid w:val="00852530"/>
    <w:rsid w:val="0086064B"/>
    <w:rsid w:val="008628A1"/>
    <w:rsid w:val="00863699"/>
    <w:rsid w:val="008647B8"/>
    <w:rsid w:val="0086597B"/>
    <w:rsid w:val="00874B91"/>
    <w:rsid w:val="00885490"/>
    <w:rsid w:val="00891D72"/>
    <w:rsid w:val="00895C49"/>
    <w:rsid w:val="008B07EB"/>
    <w:rsid w:val="008B5F52"/>
    <w:rsid w:val="008B744C"/>
    <w:rsid w:val="008B7D00"/>
    <w:rsid w:val="008C3A5B"/>
    <w:rsid w:val="008C5733"/>
    <w:rsid w:val="008D1C84"/>
    <w:rsid w:val="008D22D3"/>
    <w:rsid w:val="008D60E0"/>
    <w:rsid w:val="008E0BDF"/>
    <w:rsid w:val="008E5FAF"/>
    <w:rsid w:val="008F57A7"/>
    <w:rsid w:val="00901341"/>
    <w:rsid w:val="00901F3F"/>
    <w:rsid w:val="009022C3"/>
    <w:rsid w:val="009066DB"/>
    <w:rsid w:val="009108CB"/>
    <w:rsid w:val="009114E7"/>
    <w:rsid w:val="00921F57"/>
    <w:rsid w:val="0096785F"/>
    <w:rsid w:val="00972184"/>
    <w:rsid w:val="00974931"/>
    <w:rsid w:val="00980877"/>
    <w:rsid w:val="00982F7E"/>
    <w:rsid w:val="00987A7E"/>
    <w:rsid w:val="0099436A"/>
    <w:rsid w:val="009A696A"/>
    <w:rsid w:val="009B599D"/>
    <w:rsid w:val="009C11EF"/>
    <w:rsid w:val="009C385B"/>
    <w:rsid w:val="009C5637"/>
    <w:rsid w:val="009C7957"/>
    <w:rsid w:val="009D5793"/>
    <w:rsid w:val="009E3887"/>
    <w:rsid w:val="009E5678"/>
    <w:rsid w:val="00A0582B"/>
    <w:rsid w:val="00A138C0"/>
    <w:rsid w:val="00A26913"/>
    <w:rsid w:val="00A30DDE"/>
    <w:rsid w:val="00A33A70"/>
    <w:rsid w:val="00A40DEC"/>
    <w:rsid w:val="00A64DA6"/>
    <w:rsid w:val="00A65387"/>
    <w:rsid w:val="00A66766"/>
    <w:rsid w:val="00A71D07"/>
    <w:rsid w:val="00A72FD7"/>
    <w:rsid w:val="00A8169C"/>
    <w:rsid w:val="00A87244"/>
    <w:rsid w:val="00A948E0"/>
    <w:rsid w:val="00AB55A4"/>
    <w:rsid w:val="00AC215C"/>
    <w:rsid w:val="00AD1CC3"/>
    <w:rsid w:val="00AE1902"/>
    <w:rsid w:val="00AE3442"/>
    <w:rsid w:val="00AF1F58"/>
    <w:rsid w:val="00AF4F6A"/>
    <w:rsid w:val="00AF4FB5"/>
    <w:rsid w:val="00B01707"/>
    <w:rsid w:val="00B02F89"/>
    <w:rsid w:val="00B03F49"/>
    <w:rsid w:val="00B0613D"/>
    <w:rsid w:val="00B10EF8"/>
    <w:rsid w:val="00B13411"/>
    <w:rsid w:val="00B1543A"/>
    <w:rsid w:val="00B3015C"/>
    <w:rsid w:val="00B32373"/>
    <w:rsid w:val="00B32C31"/>
    <w:rsid w:val="00B4186E"/>
    <w:rsid w:val="00B532C3"/>
    <w:rsid w:val="00B55442"/>
    <w:rsid w:val="00B6064D"/>
    <w:rsid w:val="00B60F27"/>
    <w:rsid w:val="00B60FDC"/>
    <w:rsid w:val="00B70B0C"/>
    <w:rsid w:val="00B86DB3"/>
    <w:rsid w:val="00B94F2F"/>
    <w:rsid w:val="00B978EE"/>
    <w:rsid w:val="00BB3AB2"/>
    <w:rsid w:val="00BB57FD"/>
    <w:rsid w:val="00BB62DD"/>
    <w:rsid w:val="00BC4BAC"/>
    <w:rsid w:val="00BD6A40"/>
    <w:rsid w:val="00BD717E"/>
    <w:rsid w:val="00BE22AC"/>
    <w:rsid w:val="00BE4C87"/>
    <w:rsid w:val="00BF3C5E"/>
    <w:rsid w:val="00C0048B"/>
    <w:rsid w:val="00C03BCA"/>
    <w:rsid w:val="00C05B98"/>
    <w:rsid w:val="00C144FE"/>
    <w:rsid w:val="00C222CF"/>
    <w:rsid w:val="00C25522"/>
    <w:rsid w:val="00C453E4"/>
    <w:rsid w:val="00C52FCF"/>
    <w:rsid w:val="00C56289"/>
    <w:rsid w:val="00C56DD2"/>
    <w:rsid w:val="00C65860"/>
    <w:rsid w:val="00C70C2F"/>
    <w:rsid w:val="00C72D03"/>
    <w:rsid w:val="00C75B5B"/>
    <w:rsid w:val="00C81B7C"/>
    <w:rsid w:val="00C8325C"/>
    <w:rsid w:val="00C8716D"/>
    <w:rsid w:val="00C92BAF"/>
    <w:rsid w:val="00C96EA7"/>
    <w:rsid w:val="00CA1EAF"/>
    <w:rsid w:val="00CA2E3B"/>
    <w:rsid w:val="00CA7496"/>
    <w:rsid w:val="00CB28F4"/>
    <w:rsid w:val="00CB7FC8"/>
    <w:rsid w:val="00CD0526"/>
    <w:rsid w:val="00CD4DFF"/>
    <w:rsid w:val="00CE1634"/>
    <w:rsid w:val="00CE16FB"/>
    <w:rsid w:val="00D15272"/>
    <w:rsid w:val="00D16B22"/>
    <w:rsid w:val="00D227D3"/>
    <w:rsid w:val="00D23594"/>
    <w:rsid w:val="00D25490"/>
    <w:rsid w:val="00D27EC0"/>
    <w:rsid w:val="00D36F10"/>
    <w:rsid w:val="00D44283"/>
    <w:rsid w:val="00D461D7"/>
    <w:rsid w:val="00D565A2"/>
    <w:rsid w:val="00D65238"/>
    <w:rsid w:val="00D7319A"/>
    <w:rsid w:val="00D7640D"/>
    <w:rsid w:val="00D76588"/>
    <w:rsid w:val="00D8132B"/>
    <w:rsid w:val="00D86C20"/>
    <w:rsid w:val="00D873F6"/>
    <w:rsid w:val="00D87591"/>
    <w:rsid w:val="00DB22C0"/>
    <w:rsid w:val="00DB48F7"/>
    <w:rsid w:val="00DB6F70"/>
    <w:rsid w:val="00DC4B66"/>
    <w:rsid w:val="00DD25A9"/>
    <w:rsid w:val="00DD71EA"/>
    <w:rsid w:val="00DE1270"/>
    <w:rsid w:val="00DE35DD"/>
    <w:rsid w:val="00DE7BEE"/>
    <w:rsid w:val="00DE7EFF"/>
    <w:rsid w:val="00E00D99"/>
    <w:rsid w:val="00E02784"/>
    <w:rsid w:val="00E1043B"/>
    <w:rsid w:val="00E22A66"/>
    <w:rsid w:val="00E34F10"/>
    <w:rsid w:val="00E44C26"/>
    <w:rsid w:val="00E47AD7"/>
    <w:rsid w:val="00E53967"/>
    <w:rsid w:val="00E55E9C"/>
    <w:rsid w:val="00E57DB8"/>
    <w:rsid w:val="00E62BD9"/>
    <w:rsid w:val="00E82E59"/>
    <w:rsid w:val="00E91338"/>
    <w:rsid w:val="00E96BFF"/>
    <w:rsid w:val="00EA14ED"/>
    <w:rsid w:val="00EA632F"/>
    <w:rsid w:val="00EB5CA7"/>
    <w:rsid w:val="00EE16E0"/>
    <w:rsid w:val="00EE5A5B"/>
    <w:rsid w:val="00EF015C"/>
    <w:rsid w:val="00EF40EF"/>
    <w:rsid w:val="00EF52E8"/>
    <w:rsid w:val="00F079A7"/>
    <w:rsid w:val="00F1217E"/>
    <w:rsid w:val="00F129BB"/>
    <w:rsid w:val="00F129F9"/>
    <w:rsid w:val="00F24C71"/>
    <w:rsid w:val="00F25A7E"/>
    <w:rsid w:val="00F32FE0"/>
    <w:rsid w:val="00F44184"/>
    <w:rsid w:val="00F44D4B"/>
    <w:rsid w:val="00F557D2"/>
    <w:rsid w:val="00F61803"/>
    <w:rsid w:val="00F62217"/>
    <w:rsid w:val="00F651B7"/>
    <w:rsid w:val="00F66A51"/>
    <w:rsid w:val="00F74102"/>
    <w:rsid w:val="00F80871"/>
    <w:rsid w:val="00F85734"/>
    <w:rsid w:val="00FA1A64"/>
    <w:rsid w:val="00FB040D"/>
    <w:rsid w:val="00FB2C10"/>
    <w:rsid w:val="00FC0B4A"/>
    <w:rsid w:val="00FC5A87"/>
    <w:rsid w:val="00FD7339"/>
    <w:rsid w:val="00FE30FF"/>
    <w:rsid w:val="00FE7663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DA8FC"/>
  <w15:docId w15:val="{FBB6F720-6E9E-4DF6-A8ED-BED4FC6D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6D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03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6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44C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C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44C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4C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1012</Words>
  <Characters>5244</Characters>
  <Application>Microsoft Office Word</Application>
  <DocSecurity>0</DocSecurity>
  <Lines>249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 11</vt:lpstr>
    </vt:vector>
  </TitlesOfParts>
  <Company>Hewlett-Packard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 11</dc:title>
  <dc:creator>Stourport Town Council</dc:creator>
  <cp:lastModifiedBy>Debbie While</cp:lastModifiedBy>
  <cp:revision>10</cp:revision>
  <cp:lastPrinted>2026-03-10T15:56:00Z</cp:lastPrinted>
  <dcterms:created xsi:type="dcterms:W3CDTF">2026-05-18T08:50:00Z</dcterms:created>
  <dcterms:modified xsi:type="dcterms:W3CDTF">2026-05-26T09:33:00Z</dcterms:modified>
</cp:coreProperties>
</file>